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left"/>
      </w:pPr>
      <w:r>
        <w:t>Gebruiksbeleid en AI-beperkingen</w:t>
      </w:r>
    </w:p>
    <w:tbl>
      <w:tblPr>
        <w:tblStyle w:val="TableGrid"/>
        <w:tblW w:type="auto" w:w="0"/>
        <w:jc w:val="left"/>
        <w:tblLook w:firstColumn="1" w:firstRow="1" w:lastColumn="0" w:lastRow="0" w:noHBand="0" w:noVBand="1" w:val="04A0"/>
      </w:tblPr>
      <w:tblGrid>
        <w:gridCol w:w="5100"/>
        <w:gridCol w:w="5100"/>
      </w:tblGrid>
      <w:tr>
        <w:tc>
          <w:tcPr>
            <w:tcW w:type="dxa" w:w="5100"/>
            <w:shd w:fill="F7F2E8"/>
          </w:tcPr>
          <w:p>
            <w:pPr>
              <w:spacing w:after="0"/>
            </w:pPr>
            <w:r/>
            <w:r>
              <w:rPr>
                <w:rFonts w:ascii="Liberation Sans" w:hAnsi="Liberation Sans"/>
                <w:b/>
                <w:color w:val="3A5A78"/>
                <w:sz w:val="17"/>
              </w:rPr>
              <w:t>Status</w:t>
            </w:r>
          </w:p>
        </w:tc>
        <w:tc>
          <w:tcPr>
            <w:tcW w:type="dxa" w:w="5100"/>
          </w:tcPr>
          <w:p>
            <w:pPr>
              <w:spacing w:after="0"/>
            </w:pPr>
            <w:r/>
            <w:r>
              <w:rPr>
                <w:rFonts w:ascii="Liberation Sans" w:hAnsi="Liberation Sans"/>
                <w:b w:val="0"/>
                <w:color w:val="1A1008"/>
                <w:sz w:val="17"/>
              </w:rPr>
              <w:t>Geldend leveranciersdocument</w:t>
            </w:r>
          </w:p>
        </w:tc>
      </w:tr>
      <w:tr>
        <w:tc>
          <w:tcPr>
            <w:tcW w:type="dxa" w:w="5100"/>
            <w:shd w:fill="F7F2E8"/>
          </w:tcPr>
          <w:p>
            <w:pPr>
              <w:spacing w:after="0"/>
            </w:pPr>
            <w:r/>
            <w:r>
              <w:rPr>
                <w:rFonts w:ascii="Liberation Sans" w:hAnsi="Liberation Sans"/>
                <w:b/>
                <w:color w:val="3A5A78"/>
                <w:sz w:val="17"/>
              </w:rPr>
              <w:t>Versie / uitgiftedatum</w:t>
            </w:r>
          </w:p>
        </w:tc>
        <w:tc>
          <w:tcPr>
            <w:tcW w:type="dxa" w:w="5100"/>
          </w:tcPr>
          <w:p>
            <w:pPr>
              <w:spacing w:after="0"/>
            </w:pPr>
            <w:r/>
            <w:r>
              <w:rPr>
                <w:rFonts w:ascii="Liberation Sans" w:hAnsi="Liberation Sans"/>
                <w:b w:val="0"/>
                <w:color w:val="1A1008"/>
                <w:sz w:val="17"/>
              </w:rPr>
              <w:t>1.0 / 28 augustus 2026</w:t>
            </w:r>
          </w:p>
        </w:tc>
      </w:tr>
      <w:tr>
        <w:tc>
          <w:tcPr>
            <w:tcW w:type="dxa" w:w="5100"/>
            <w:shd w:fill="F7F2E8"/>
          </w:tcPr>
          <w:p>
            <w:pPr>
              <w:spacing w:after="0"/>
            </w:pPr>
            <w:r/>
            <w:r>
              <w:rPr>
                <w:rFonts w:ascii="Liberation Sans" w:hAnsi="Liberation Sans"/>
                <w:b/>
                <w:color w:val="3A5A78"/>
                <w:sz w:val="17"/>
              </w:rPr>
              <w:t>Documenteigenaar</w:t>
            </w:r>
          </w:p>
        </w:tc>
        <w:tc>
          <w:tcPr>
            <w:tcW w:type="dxa" w:w="5100"/>
          </w:tcPr>
          <w:p>
            <w:pPr>
              <w:spacing w:after="0"/>
            </w:pPr>
            <w:r/>
            <w:r>
              <w:rPr>
                <w:rFonts w:ascii="Liberation Sans" w:hAnsi="Liberation Sans"/>
                <w:b w:val="0"/>
                <w:color w:val="1A1008"/>
                <w:sz w:val="17"/>
              </w:rPr>
              <w:t>Schmeitzke, handelend onder de namen Summa en Summa Labs</w:t>
            </w:r>
          </w:p>
        </w:tc>
      </w:tr>
      <w:tr>
        <w:tc>
          <w:tcPr>
            <w:tcW w:type="dxa" w:w="5100"/>
            <w:shd w:fill="F7F2E8"/>
          </w:tcPr>
          <w:p>
            <w:pPr>
              <w:spacing w:after="0"/>
            </w:pPr>
            <w:r/>
            <w:r>
              <w:rPr>
                <w:rFonts w:ascii="Liberation Sans" w:hAnsi="Liberation Sans"/>
                <w:b/>
                <w:color w:val="3A5A78"/>
                <w:sz w:val="17"/>
              </w:rPr>
              <w:t>Classificatie</w:t>
            </w:r>
          </w:p>
        </w:tc>
        <w:tc>
          <w:tcPr>
            <w:tcW w:type="dxa" w:w="5100"/>
          </w:tcPr>
          <w:p>
            <w:pPr>
              <w:spacing w:after="0"/>
            </w:pPr>
            <w:r/>
            <w:r>
              <w:rPr>
                <w:rFonts w:ascii="Liberation Sans" w:hAnsi="Liberation Sans"/>
                <w:b w:val="0"/>
                <w:color w:val="1A1008"/>
                <w:sz w:val="17"/>
              </w:rPr>
              <w:t>Publiek / contractueel</w:t>
            </w:r>
          </w:p>
        </w:tc>
      </w:tr>
    </w:tbl>
    <w:p/>
    <w:p>
      <w:pPr>
        <w:pStyle w:val="Heading1"/>
      </w:pPr>
      <w:r>
        <w:t>1. Doel</w:t>
      </w:r>
    </w:p>
    <w:p>
      <w:pPr>
        <w:spacing w:after="100"/>
      </w:pPr>
      <w:r>
        <w:t>Dit beleid beschermt gebruikers, organisaties, derden en de infrastructuur tegen onrechtmatig of onverantwoord gebruik. Het geldt voor prompts, uploads, gedeelde ruimten, bedrijfskennis, webresearch, connectoren, gegenereerde bestanden, code-uitvoering en alle andere Summa-functies.</w:t>
      </w:r>
    </w:p>
    <w:p>
      <w:pPr>
        <w:pStyle w:val="Heading1"/>
      </w:pPr>
      <w:r>
        <w:t>2. Toegestaan gebruik</w:t>
      </w:r>
    </w:p>
    <w:p>
      <w:pPr>
        <w:spacing w:after="100"/>
      </w:pPr>
      <w:r>
        <w:t>Summa mag worden gebruikt voor rechtmatige professionele en persoonlijke werkzaamheden, waaronder schrijven, samenvatten, onderzoek, programmeren, documentanalyse, kenniszoeken, brainstormen en voorbereiding van menselijke besluitvorming, mits de gebruiker over de benodigde gegevens- en gebruiksrechten beschikt en passende menselijke controle toepast.</w:t>
      </w:r>
    </w:p>
    <w:p>
      <w:pPr>
        <w:pStyle w:val="Heading1"/>
      </w:pPr>
      <w:r>
        <w:t>3. Verboden gebruik</w:t>
      </w:r>
    </w:p>
    <w:p>
      <w:pPr>
        <w:spacing w:after="100"/>
      </w:pPr>
      <w:r>
        <w:t>Het is verboden Summa te gebruiken voor:</w:t>
      </w:r>
    </w:p>
    <w:p>
      <w:pPr>
        <w:pStyle w:val="ListBullet"/>
        <w:spacing w:after="40"/>
        <w:ind w:left="227"/>
      </w:pPr>
      <w:r>
        <w:t>strafbare feiten, fraude, oplichting, afpersing, terrorismeondersteuning of instructies die primair zijn gericht op daadwerkelijke ernstige schade;</w:t>
      </w:r>
    </w:p>
    <w:p>
      <w:pPr>
        <w:pStyle w:val="ListBullet"/>
        <w:spacing w:after="40"/>
        <w:ind w:left="227"/>
      </w:pPr>
      <w:r>
        <w:t>ongeautoriseerde toegang tot systemen, credential theft, malwareverspreiding, destructieve cyberaanvallen of het omzeilen van toegangscontroles buiten een rechtmatig beveiligingstestmandaat;</w:t>
      </w:r>
    </w:p>
    <w:p>
      <w:pPr>
        <w:pStyle w:val="ListBullet"/>
        <w:spacing w:after="40"/>
        <w:ind w:left="227"/>
      </w:pPr>
      <w:r>
        <w:t>doxing, stalking, intimidatie of het openbaar maken van persoonsgegevens zonder rechtmatige basis;</w:t>
      </w:r>
    </w:p>
    <w:p>
      <w:pPr>
        <w:pStyle w:val="ListBullet"/>
        <w:spacing w:after="40"/>
        <w:ind w:left="227"/>
      </w:pPr>
      <w:r>
        <w:t>seksuele uitbuiting van minderjarigen of andere wettelijk verboden seksuele inhoud;</w:t>
      </w:r>
    </w:p>
    <w:p>
      <w:pPr>
        <w:pStyle w:val="ListBullet"/>
        <w:spacing w:after="40"/>
        <w:ind w:left="227"/>
      </w:pPr>
      <w:r>
        <w:t>het genereren of verspreiden van content die de gebruiker niet rechtmatig mag verwerken wanneer daardoor rechten van derden worden geschonden;</w:t>
      </w:r>
    </w:p>
    <w:p>
      <w:pPr>
        <w:pStyle w:val="ListBullet"/>
        <w:spacing w:after="40"/>
        <w:ind w:left="227"/>
      </w:pPr>
      <w:r>
        <w:t>het invoeren van wachtwoorden, private keys, volledige betaalkaartgegevens of andere authenticatiegeheimen als gewone chatinhoud;</w:t>
      </w:r>
    </w:p>
    <w:p>
      <w:pPr>
        <w:pStyle w:val="ListBullet"/>
        <w:spacing w:after="40"/>
        <w:ind w:left="227"/>
      </w:pPr>
      <w:r>
        <w:t>het bewust proberen te doorbreken van tenantisolatie, rate limits, toolautorisatie, netwerkbeperkingen of veiligheidscontroles;</w:t>
      </w:r>
    </w:p>
    <w:p>
      <w:pPr>
        <w:pStyle w:val="ListBullet"/>
        <w:spacing w:after="40"/>
        <w:ind w:left="227"/>
      </w:pPr>
      <w:r>
        <w:t>massale ongewenste communicatie of andere vormen van platformmisbruik.</w:t>
      </w:r>
    </w:p>
    <w:p>
      <w:pPr>
        <w:pStyle w:val="Heading1"/>
      </w:pPr>
      <w:r>
        <w:t>4. Hoog-impact- en publieke besluitvorming</w:t>
      </w:r>
    </w:p>
    <w:p>
      <w:pPr>
        <w:spacing w:after="100"/>
      </w:pPr>
      <w:r>
        <w:t>Zonder een afzonderlijke schriftelijke use-casebeoordeling, passende wettelijke grondslag en waar nodig specifieke AI Act-conformiteitsroute mag Summa niet worden gebruikt als enige of beslissende basis voor:</w:t>
      </w:r>
    </w:p>
    <w:p>
      <w:pPr>
        <w:pStyle w:val="ListBullet"/>
        <w:spacing w:after="40"/>
        <w:ind w:left="227"/>
      </w:pPr>
      <w:r>
        <w:t>toekenning, weigering, terugvordering of sanctionering van publieke uitkeringen, vergunningen of wettelijke rechten;</w:t>
      </w:r>
    </w:p>
    <w:p>
      <w:pPr>
        <w:pStyle w:val="ListBullet"/>
        <w:spacing w:after="40"/>
        <w:ind w:left="227"/>
      </w:pPr>
      <w:r>
        <w:t>selectie, ontslag of rangschikking van werknemers wanneer de uitkomst wezenlijke gevolgen heeft;</w:t>
      </w:r>
    </w:p>
    <w:p>
      <w:pPr>
        <w:pStyle w:val="ListBullet"/>
        <w:spacing w:after="40"/>
        <w:ind w:left="227"/>
      </w:pPr>
      <w:r>
        <w:t>krediet-, verzekering-, huisvestings- of onderwijsbesluiten over personen;</w:t>
      </w:r>
    </w:p>
    <w:p>
      <w:pPr>
        <w:pStyle w:val="ListBullet"/>
        <w:spacing w:after="40"/>
        <w:ind w:left="227"/>
      </w:pPr>
      <w:r>
        <w:t>strafrechtelijke of frauderisicobeoordeling van natuurlijke personen;</w:t>
      </w:r>
    </w:p>
    <w:p>
      <w:pPr>
        <w:pStyle w:val="ListBullet"/>
        <w:spacing w:after="40"/>
        <w:ind w:left="227"/>
      </w:pPr>
      <w:r>
        <w:t>biometrische identificatie/categorisering of emotieherkenning;</w:t>
      </w:r>
    </w:p>
    <w:p>
      <w:pPr>
        <w:pStyle w:val="ListBullet"/>
        <w:spacing w:after="40"/>
        <w:ind w:left="227"/>
      </w:pPr>
      <w:r>
        <w:t>medische diagnose of behandeling zonder bevoegde professional;</w:t>
      </w:r>
    </w:p>
    <w:p>
      <w:pPr>
        <w:pStyle w:val="ListBullet"/>
        <w:spacing w:after="40"/>
        <w:ind w:left="227"/>
      </w:pPr>
      <w:r>
        <w:t>andere beslissingen die onder de AI Act als hoog risico of verboden kunnen kwalificeren.</w:t>
      </w:r>
    </w:p>
    <w:p>
      <w:pPr>
        <w:spacing w:after="100"/>
      </w:pPr>
      <w:r>
        <w:t>Voor gemeenten is de standaardbedoeling: algemene medewerkerondersteuning met menselijke beoordeling. Iedere uitbreiding naar een beslissysteem vraagt vooraf een nieuwe classificatie, DPIA en waar van toepassing FRIA/conformiteitsbeoordeling.</w:t>
      </w:r>
    </w:p>
    <w:p>
      <w:pPr>
        <w:pStyle w:val="Heading1"/>
      </w:pPr>
      <w:r>
        <w:t>5. Professioneel advies en feiten</w:t>
      </w:r>
    </w:p>
    <w:p>
      <w:pPr>
        <w:spacing w:after="100"/>
      </w:pPr>
      <w:r>
        <w:t>Gebruikers moeten belangrijke feiten, citaten, berekeningen, juridische conclusies, medische informatie en financiële adviezen onafhankelijk controleren. Een bronverwijzing door een model is geen bewijs dat de bron de bewering daadwerkelijk ondersteunt; gebruik waar beschikbaar de toolactiviteit en geopende bron.</w:t>
      </w:r>
    </w:p>
    <w:p>
      <w:pPr>
        <w:pStyle w:val="Heading1"/>
      </w:pPr>
      <w:r>
        <w:t>6. Persoonsgegevens en vertrouwelijkheid</w:t>
      </w:r>
    </w:p>
    <w:p>
      <w:pPr>
        <w:spacing w:after="100"/>
      </w:pPr>
      <w:r>
        <w:t>Verwerk alleen persoonsgegevens die voor het doel noodzakelijk zijn en waarvoor een rechtmatige grondslag bestaat. Bij bedrijfsgebruik bepaalt de organisatie welke gegevensclassificaties in Summa zijn toegestaan. Bij optionele externe tools moet de gebruiker rekening houden met de gegevens die naar de betreffende provider gaan.</w:t>
      </w:r>
    </w:p>
    <w:p>
      <w:pPr>
        <w:pStyle w:val="Heading1"/>
      </w:pPr>
      <w:r>
        <w:t>7. Connectoren en tools</w:t>
      </w:r>
    </w:p>
    <w:p>
      <w:pPr>
        <w:spacing w:after="100"/>
      </w:pPr>
      <w:r>
        <w:t>Een gebruiker mag alleen bronnen koppelen waartoe hij rechtmatig toegang heeft. Provider-native rechten blijven gelden. Het is verboden een connector, gedeelde link of tool te gebruiken om toegangsbeperkingen van de bronorganisatie te omzeilen.</w:t>
      </w:r>
    </w:p>
    <w:p>
      <w:pPr>
        <w:spacing w:after="100"/>
      </w:pPr>
      <w:r>
        <w:t>Geïsoleerde Python-uitvoering is bedoeld voor berekeningen en dataverwerking binnen de afgeschermde runtime. Pogingen om de sandbox te verlaten, netwerktoegang te verkrijgen, secrets te bemachtigen of Kubernetes/infrastructuur te bereiken zijn verboden, behalve in een vooraf schriftelijk toegestaan securitytestmandaat.</w:t>
      </w:r>
    </w:p>
    <w:p>
      <w:pPr>
        <w:pStyle w:val="Heading1"/>
      </w:pPr>
      <w:r>
        <w:t>8. Publieke output en AI-transparantie</w:t>
      </w:r>
    </w:p>
    <w:p>
      <w:pPr>
        <w:spacing w:after="100"/>
      </w:pPr>
      <w:r>
        <w:t>Wanneer toepasselijk moeten gebruikers AI-gegenereerde of gemanipuleerde content eerlijk als zodanig behandelen en wettelijke transparantieverplichtingen respecteren. Het is verboden AI-output bewust als authentieke menselijke verklaring of bewijsmateriaal te presenteren wanneer dat misleidend of onrechtmatig is.</w:t>
      </w:r>
    </w:p>
    <w:p>
      <w:pPr>
        <w:pStyle w:val="Heading1"/>
      </w:pPr>
      <w:r>
        <w:t>9. Handhaving</w:t>
      </w:r>
    </w:p>
    <w:p>
      <w:pPr>
        <w:spacing w:after="100"/>
      </w:pPr>
      <w:r>
        <w:t>Summa kan misbruik onderzoeken met proportionele metadata en beveiligingsinformatie, de betrokken functionaliteit tijdelijk beperken, content blokkeren waar wettelijk noodzakelijk of een account beëindigen bij ernstige/herhaalde overtreding. Waar mogelijk wordt de gebruiker geïnformeerd en kan hij bezwaar maken via support@summalabs.ai. Maatregelen worden zo beperkt mogelijk gehouden tot het risico dat moet worden beheerst.</w:t>
      </w:r>
    </w:p>
    <w:sectPr w:rsidR="00FC693F" w:rsidRPr="0006063C" w:rsidSect="00034616">
      <w:headerReference w:type="default" r:id="rId9"/>
      <w:footerReference w:type="default" r:id="rId10"/>
      <w:pgSz w:w="12240" w:h="15840"/>
      <w:pgMar w:top="964" w:right="1020" w:bottom="964"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Liberation Sans" w:hAnsi="Liberation Sans"/>
        <w:color w:val="6E6257"/>
        <w:sz w:val="14"/>
      </w:rPr>
      <w:t xml:space="preserve">Gebruiksbeleid en AI-beperkingen  •  v1.0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rPr>
        <w:b/>
        <w:color w:val="3A5A78"/>
        <w:sz w:val="15"/>
      </w:rPr>
      <w:t>SUMMA  /  COMPLIANCE &amp; TRUST</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00" w:line="259" w:lineRule="auto"/>
    </w:pPr>
    <w:rPr>
      <w:rFonts w:ascii="Liberation Sans" w:hAnsi="Liberation Sans"/>
      <w:color w:val="1A1008"/>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160" w:after="80"/>
      <w:outlineLvl w:val="0"/>
    </w:pPr>
    <w:rPr>
      <w:rFonts w:asciiTheme="majorHAnsi" w:eastAsiaTheme="majorEastAsia" w:hAnsiTheme="majorHAnsi" w:cstheme="majorBidi" w:ascii="Liberation Sans" w:hAnsi="Liberation Sans"/>
      <w:b/>
      <w:bCs/>
      <w:color w:val="3A5A78"/>
      <w:sz w:val="30"/>
      <w:szCs w:val="28"/>
    </w:rPr>
  </w:style>
  <w:style w:type="paragraph" w:styleId="Heading2">
    <w:name w:val="heading 2"/>
    <w:basedOn w:val="Normal"/>
    <w:next w:val="Normal"/>
    <w:link w:val="Heading2Char"/>
    <w:uiPriority w:val="9"/>
    <w:unhideWhenUsed/>
    <w:qFormat/>
    <w:rsid w:val="00FC693F"/>
    <w:pPr>
      <w:keepNext/>
      <w:keepLines/>
      <w:spacing w:before="160" w:after="80"/>
      <w:outlineLvl w:val="1"/>
    </w:pPr>
    <w:rPr>
      <w:rFonts w:asciiTheme="majorHAnsi" w:eastAsiaTheme="majorEastAsia" w:hAnsiTheme="majorHAnsi" w:cstheme="majorBidi" w:ascii="Liberation Sans" w:hAnsi="Liberation Sans"/>
      <w:b/>
      <w:bCs/>
      <w:color w:val="C8963E"/>
      <w:sz w:val="24"/>
      <w:szCs w:val="26"/>
    </w:rPr>
  </w:style>
  <w:style w:type="paragraph" w:styleId="Heading3">
    <w:name w:val="heading 3"/>
    <w:basedOn w:val="Normal"/>
    <w:next w:val="Normal"/>
    <w:link w:val="Heading3Char"/>
    <w:uiPriority w:val="9"/>
    <w:unhideWhenUsed/>
    <w:qFormat/>
    <w:rsid w:val="00FC693F"/>
    <w:pPr>
      <w:keepNext/>
      <w:keepLines/>
      <w:spacing w:before="160" w:after="80"/>
      <w:outlineLvl w:val="2"/>
    </w:pPr>
    <w:rPr>
      <w:rFonts w:asciiTheme="majorHAnsi" w:eastAsiaTheme="majorEastAsia" w:hAnsiTheme="majorHAnsi" w:cstheme="majorBidi" w:ascii="Liberation Sans" w:hAnsi="Liberation Sans"/>
      <w:b/>
      <w:bCs/>
      <w:color w:val="3A5A78"/>
      <w:sz w:val="2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80" w:line="240" w:lineRule="auto" w:before="160"/>
      <w:contextualSpacing/>
    </w:pPr>
    <w:rPr>
      <w:rFonts w:asciiTheme="majorHAnsi" w:eastAsiaTheme="majorEastAsia" w:hAnsiTheme="majorHAnsi" w:cstheme="majorBidi" w:ascii="Liberation Sans" w:hAnsi="Liberation Sans"/>
      <w:b/>
      <w:color w:val="1A1008"/>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Summa</dc:creator>
  <cp:keywords/>
  <dc:description/>
  <cp:lastModifiedBy>Summa</cp:lastModifiedBy>
  <cp:revision>1</cp:revision>
  <dcterms:created xsi:type="dcterms:W3CDTF">2013-12-23T23:15:00Z</dcterms:created>
  <dcterms:modified xsi:type="dcterms:W3CDTF">2013-12-23T23:15:00Z</dcterms:modified>
  <cp:category/>
</cp:coreProperties>
</file>