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Technische en organisatorische maatregelen (TOM's)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5100"/>
        <w:gridCol w:w="5100"/>
      </w:tblGrid>
      <w:tr>
        <w:tc>
          <w:tcPr>
            <w:tcW w:type="dxa" w:w="5100"/>
            <w:shd w:fill="F7F2E8"/>
          </w:tcPr>
          <w:p>
            <w:pPr>
              <w:spacing w:after="0"/>
            </w:pPr>
            <w:r/>
            <w:r>
              <w:rPr>
                <w:rFonts w:ascii="Liberation Sans" w:hAnsi="Liberation Sans"/>
                <w:b/>
                <w:color w:val="3A5A78"/>
                <w:sz w:val="17"/>
              </w:rPr>
              <w:t>Status</w:t>
            </w:r>
          </w:p>
        </w:tc>
        <w:tc>
          <w:tcPr>
            <w:tcW w:type="dxa" w:w="5100"/>
          </w:tcPr>
          <w:p>
            <w:pPr>
              <w:spacing w:after="0"/>
            </w:pPr>
            <w:r/>
            <w:r>
              <w:rPr>
                <w:rFonts w:ascii="Liberation Sans" w:hAnsi="Liberation Sans"/>
                <w:b w:val="0"/>
                <w:color w:val="1A1008"/>
                <w:sz w:val="17"/>
              </w:rPr>
              <w:t>Geldend leveranciersdocument</w:t>
            </w:r>
          </w:p>
        </w:tc>
      </w:tr>
      <w:tr>
        <w:tc>
          <w:tcPr>
            <w:tcW w:type="dxa" w:w="5100"/>
            <w:shd w:fill="F7F2E8"/>
          </w:tcPr>
          <w:p>
            <w:pPr>
              <w:spacing w:after="0"/>
            </w:pPr>
            <w:r/>
            <w:r>
              <w:rPr>
                <w:rFonts w:ascii="Liberation Sans" w:hAnsi="Liberation Sans"/>
                <w:b/>
                <w:color w:val="3A5A78"/>
                <w:sz w:val="17"/>
              </w:rPr>
              <w:t>Versie / uitgiftedatum</w:t>
            </w:r>
          </w:p>
        </w:tc>
        <w:tc>
          <w:tcPr>
            <w:tcW w:type="dxa" w:w="5100"/>
          </w:tcPr>
          <w:p>
            <w:pPr>
              <w:spacing w:after="0"/>
            </w:pPr>
            <w:r/>
            <w:r>
              <w:rPr>
                <w:rFonts w:ascii="Liberation Sans" w:hAnsi="Liberation Sans"/>
                <w:b w:val="0"/>
                <w:color w:val="1A1008"/>
                <w:sz w:val="17"/>
              </w:rPr>
              <w:t>1.0 / 28 augustus 2026</w:t>
            </w:r>
          </w:p>
        </w:tc>
      </w:tr>
      <w:tr>
        <w:tc>
          <w:tcPr>
            <w:tcW w:type="dxa" w:w="5100"/>
            <w:shd w:fill="F7F2E8"/>
          </w:tcPr>
          <w:p>
            <w:pPr>
              <w:spacing w:after="0"/>
            </w:pPr>
            <w:r/>
            <w:r>
              <w:rPr>
                <w:rFonts w:ascii="Liberation Sans" w:hAnsi="Liberation Sans"/>
                <w:b/>
                <w:color w:val="3A5A78"/>
                <w:sz w:val="17"/>
              </w:rPr>
              <w:t>Documenteigenaar</w:t>
            </w:r>
          </w:p>
        </w:tc>
        <w:tc>
          <w:tcPr>
            <w:tcW w:type="dxa" w:w="5100"/>
          </w:tcPr>
          <w:p>
            <w:pPr>
              <w:spacing w:after="0"/>
            </w:pPr>
            <w:r/>
            <w:r>
              <w:rPr>
                <w:rFonts w:ascii="Liberation Sans" w:hAnsi="Liberation Sans"/>
                <w:b w:val="0"/>
                <w:color w:val="1A1008"/>
                <w:sz w:val="17"/>
              </w:rPr>
              <w:t>Schmeitzke, handelend onder de namen Summa en Summa Labs</w:t>
            </w:r>
          </w:p>
        </w:tc>
      </w:tr>
      <w:tr>
        <w:tc>
          <w:tcPr>
            <w:tcW w:type="dxa" w:w="5100"/>
            <w:shd w:fill="F7F2E8"/>
          </w:tcPr>
          <w:p>
            <w:pPr>
              <w:spacing w:after="0"/>
            </w:pPr>
            <w:r/>
            <w:r>
              <w:rPr>
                <w:rFonts w:ascii="Liberation Sans" w:hAnsi="Liberation Sans"/>
                <w:b/>
                <w:color w:val="3A5A78"/>
                <w:sz w:val="17"/>
              </w:rPr>
              <w:t>Classificatie</w:t>
            </w:r>
          </w:p>
        </w:tc>
        <w:tc>
          <w:tcPr>
            <w:tcW w:type="dxa" w:w="5100"/>
          </w:tcPr>
          <w:p>
            <w:pPr>
              <w:spacing w:after="0"/>
            </w:pPr>
            <w:r/>
            <w:r>
              <w:rPr>
                <w:rFonts w:ascii="Liberation Sans" w:hAnsi="Liberation Sans"/>
                <w:b w:val="0"/>
                <w:color w:val="1A1008"/>
                <w:sz w:val="17"/>
              </w:rPr>
              <w:t>Publiek / due diligence</w:t>
            </w:r>
          </w:p>
        </w:tc>
      </w:tr>
    </w:tbl>
    <w:p/>
    <w:p>
      <w:pPr>
        <w:pStyle w:val="Heading1"/>
      </w:pPr>
      <w:r>
        <w:t>1. Reikwijdte</w:t>
      </w:r>
    </w:p>
    <w:p>
      <w:pPr>
        <w:spacing w:after="100"/>
      </w:pPr>
      <w:r>
        <w:t>Deze maatregelen beschrijven het aantoonbare beveiligingsniveau van de actuele Summa-dienst. Zij zijn bedoeld als AVG artikel 32-bijlage, leveranciersbewijs en basis voor gemeentelijke securityreviews. Een maatregel wordt alleen als geïmplementeerd beschreven wanneer deze in de huidige code/configuratie aantoonbaar aanwezig is; gewenste verbeteringen staan expliciet als open actie.</w:t>
      </w:r>
    </w:p>
    <w:p>
      <w:pPr>
        <w:pStyle w:val="Heading1"/>
      </w:pPr>
      <w:r>
        <w:t>2. Identiteit en authenticatie</w:t>
      </w:r>
    </w:p>
    <w:p>
      <w:pPr>
        <w:pStyle w:val="ListBullet"/>
        <w:spacing w:after="40"/>
        <w:ind w:left="227"/>
      </w:pPr>
      <w:r>
        <w:t>Authenticatie verloopt via een zelfgehoste ZITADEL-identityservice binnen de Summa-infrastructuur.</w:t>
      </w:r>
    </w:p>
    <w:p>
      <w:pPr>
        <w:pStyle w:val="ListBullet"/>
        <w:spacing w:after="40"/>
        <w:ind w:left="227"/>
      </w:pPr>
      <w:r>
        <w:t>Unieke accounts en rolgebaseerde autorisatie zijn verplicht voor werkruimten en beheerfuncties.</w:t>
      </w:r>
    </w:p>
    <w:p>
      <w:pPr>
        <w:pStyle w:val="ListBullet"/>
        <w:spacing w:after="40"/>
        <w:ind w:left="227"/>
      </w:pPr>
      <w:r>
        <w:t>Het eigenaar-/platformbeheervlak is uitsluitend bereikbaar op een private Tailscale-host, vereist de platform_admin-rol en dwingt MFA af.</w:t>
      </w:r>
    </w:p>
    <w:p>
      <w:pPr>
        <w:pStyle w:val="ListBullet"/>
        <w:spacing w:after="40"/>
        <w:ind w:left="227"/>
      </w:pPr>
      <w:r>
        <w:t>Platformbrede MFA-enforcement voor alle gewone accounts staat op uitgiftdatum uit. Zakelijke/overheidsproductie moet daarom MFA via het gekozen identity-/SSO-profiel verplicht stellen voordat gevoelige data wordt toegelaten.</w:t>
      </w:r>
    </w:p>
    <w:p>
      <w:pPr>
        <w:pStyle w:val="ListBullet"/>
        <w:spacing w:after="40"/>
        <w:ind w:left="227"/>
      </w:pPr>
      <w:r>
        <w:t>Development login is in productie uitgeschakeld.</w:t>
      </w:r>
    </w:p>
    <w:p>
      <w:pPr>
        <w:pStyle w:val="Heading1"/>
      </w:pPr>
      <w:r>
        <w:t>3. Tenantisolatie en autorisatie</w:t>
      </w:r>
    </w:p>
    <w:p>
      <w:pPr>
        <w:pStyle w:val="ListBullet"/>
        <w:spacing w:after="40"/>
        <w:ind w:left="227"/>
      </w:pPr>
      <w:r>
        <w:t>De FastAPI-backend is de beleidsgrens: browserclients krijgen geen directe toegang tot database/modelservers.</w:t>
      </w:r>
    </w:p>
    <w:p>
      <w:pPr>
        <w:pStyle w:val="ListBullet"/>
        <w:spacing w:after="40"/>
        <w:ind w:left="227"/>
      </w:pPr>
      <w:r>
        <w:t>PostgreSQL Row Level Security en tenantcontext beperken data tot de actuele tenant.</w:t>
      </w:r>
    </w:p>
    <w:p>
      <w:pPr>
        <w:pStyle w:val="ListBullet"/>
        <w:spacing w:after="40"/>
        <w:ind w:left="227"/>
      </w:pPr>
      <w:r>
        <w:t>Applicatielaagautoriteit controleert aanvullend gebruikers-, tenant-, workspace- en roomrechten.</w:t>
      </w:r>
    </w:p>
    <w:p>
      <w:pPr>
        <w:pStyle w:val="ListBullet"/>
        <w:spacing w:after="40"/>
        <w:ind w:left="227"/>
      </w:pPr>
      <w:r>
        <w:t>Gedeelde rooms gebruiken expliciete membership/roles; cross-tenant toegang wordt slechts via één gecontroleerde resolutieroute toegestaan.</w:t>
      </w:r>
    </w:p>
    <w:p>
      <w:pPr>
        <w:pStyle w:val="ListBullet"/>
        <w:spacing w:after="40"/>
        <w:ind w:left="227"/>
      </w:pPr>
      <w:r>
        <w:t>Connectoren vereisen waar van toepassing deployment featuregate, tenantbeleid, access profile en per-user providerautorisatie.</w:t>
      </w:r>
    </w:p>
    <w:p>
      <w:pPr>
        <w:pStyle w:val="Heading1"/>
      </w:pPr>
      <w:r>
        <w:t>4. Versleuteling en sleutelbeheer</w:t>
      </w:r>
    </w:p>
    <w:p>
      <w:pPr>
        <w:pStyle w:val="ListBullet"/>
        <w:spacing w:after="40"/>
        <w:ind w:left="227"/>
      </w:pPr>
      <w:r>
        <w:t>Publieke verbindingen gebruiken TLS.</w:t>
      </w:r>
    </w:p>
    <w:p>
      <w:pPr>
        <w:pStyle w:val="ListBullet"/>
        <w:spacing w:after="40"/>
        <w:ind w:left="227"/>
      </w:pPr>
      <w:r>
        <w:t>Gevoelige velden en tenantgebonden gegevensklassen worden applicatief versleuteld; tenant-scoped encryption is in productie verplicht.</w:t>
      </w:r>
    </w:p>
    <w:p>
      <w:pPr>
        <w:pStyle w:val="ListBullet"/>
        <w:spacing w:after="40"/>
        <w:ind w:left="227"/>
      </w:pPr>
      <w:r>
        <w:t>Secrets worden niet in ConfigMaps geplaatst wanneer zij geheim zijn; productiecredentials worden via versleutelde Kubernetes/SOPS secretbestanden geïnjecteerd.</w:t>
      </w:r>
    </w:p>
    <w:p>
      <w:pPr>
        <w:pStyle w:val="ListBullet"/>
        <w:spacing w:after="40"/>
        <w:ind w:left="227"/>
      </w:pPr>
      <w:r>
        <w:t>CI genereert tijdelijke test-encryptiesleutels en weigert bekende credentialbestanden in de repository.</w:t>
      </w:r>
    </w:p>
    <w:p>
      <w:pPr>
        <w:pStyle w:val="ListBullet"/>
        <w:spacing w:after="40"/>
        <w:ind w:left="227"/>
      </w:pPr>
      <w:r>
        <w:t>Voor een volledige cryptografische lifecycle worden sleutelrotatie, noodrotatie, keycustody en periodieke review volgens document 13 uitgevoerd.</w:t>
      </w:r>
    </w:p>
    <w:p>
      <w:pPr>
        <w:pStyle w:val="Heading1"/>
      </w:pPr>
      <w:r>
        <w:t>5. Netwerkbeveiliging</w:t>
      </w:r>
    </w:p>
    <w:p>
      <w:pPr>
        <w:pStyle w:val="ListBullet"/>
        <w:spacing w:after="40"/>
        <w:ind w:left="227"/>
      </w:pPr>
      <w:r>
        <w:t>Externe route: Leafcloud load balancer -&gt; ingress-nginx -&gt; Next.js -&gt; FastAPI.</w:t>
      </w:r>
    </w:p>
    <w:p>
      <w:pPr>
        <w:pStyle w:val="ListBullet"/>
        <w:spacing w:after="40"/>
        <w:ind w:left="227"/>
      </w:pPr>
      <w:r>
        <w:t>Databases, caches, modelgateways en interne toolservices hebben geen gewone publieke browserroute.</w:t>
      </w:r>
    </w:p>
    <w:p>
      <w:pPr>
        <w:pStyle w:val="ListBullet"/>
        <w:spacing w:after="40"/>
        <w:ind w:left="227"/>
      </w:pPr>
      <w:r>
        <w:t>Kubernetes network policies beperken service-to-service verkeer; geïsoleerde Python jobs draaien in een afzonderlijke namespace met default-deny ingress/egress.</w:t>
      </w:r>
    </w:p>
    <w:p>
      <w:pPr>
        <w:pStyle w:val="ListBullet"/>
        <w:spacing w:after="40"/>
        <w:ind w:left="227"/>
      </w:pPr>
      <w:r>
        <w:t>De web-retrievalbroker concentreert internet-egress en blokkeert SSRF via schemecontrole, DNS/IP-validatie, private/metadata-adresblokkade, IP-pinning, redirectherbeoordeling, bodylimieten en timeouts.</w:t>
      </w:r>
    </w:p>
    <w:p>
      <w:pPr>
        <w:pStyle w:val="Heading1"/>
      </w:pPr>
      <w:r>
        <w:t>6. Upload- en contentbeveiliging</w:t>
      </w:r>
    </w:p>
    <w:p>
      <w:pPr>
        <w:pStyle w:val="ListBullet"/>
        <w:spacing w:after="40"/>
        <w:ind w:left="227"/>
      </w:pPr>
      <w:r>
        <w:t>Uploads gaan via de geauthenticeerde applicatieboundary naar private objectstorage.</w:t>
      </w:r>
    </w:p>
    <w:p>
      <w:pPr>
        <w:pStyle w:val="ListBullet"/>
        <w:spacing w:after="40"/>
        <w:ind w:left="227"/>
      </w:pPr>
      <w:r>
        <w:t>ClamAV-scanning is in productie vereist voordat uploads worden gebruikt.</w:t>
      </w:r>
    </w:p>
    <w:p>
      <w:pPr>
        <w:pStyle w:val="ListBullet"/>
        <w:spacing w:after="40"/>
        <w:ind w:left="227"/>
      </w:pPr>
      <w:r>
        <w:t>Tika/OCR heeft limieten op bestandsgrootte, geëxtraheerde tekst, pagina's, OCR-pages en timeouts om decompression/parser denial-of-service te beperken.</w:t>
      </w:r>
    </w:p>
    <w:p>
      <w:pPr>
        <w:pStyle w:val="ListBullet"/>
        <w:spacing w:after="40"/>
        <w:ind w:left="227"/>
      </w:pPr>
      <w:r>
        <w:t>Archive-expansie en file-aantallen zijn begrensd.</w:t>
      </w:r>
    </w:p>
    <w:p>
      <w:pPr>
        <w:pStyle w:val="ListBullet"/>
        <w:spacing w:after="40"/>
        <w:ind w:left="227"/>
      </w:pPr>
      <w:r>
        <w:t>Externe/imported documenten worden als onbetrouwbare input behandeld; zij krijgen geen implicit tool-/systeemautoriteit.</w:t>
      </w:r>
    </w:p>
    <w:p>
      <w:pPr>
        <w:pStyle w:val="Heading1"/>
      </w:pPr>
      <w:r>
        <w:t>7. Geïsoleerde code-uitvoering</w:t>
      </w:r>
    </w:p>
    <w:p>
      <w:pPr>
        <w:spacing w:after="100"/>
      </w:pPr>
      <w:r>
        <w:t>De Python tool draait in een tijdelijke runtime zonder netwerktoegang, persistent volume, secrets, Kubernetes token, runtime package-installatie of schrijfbare root filesystem. CPU, geheugen, looptijd, stdout/stderr en tijdelijke opslag zijn begrensd. De controller heeft alleen namespaced RBAC dat nodig is om deze tijdelijke pods te beheren; runtimepods gebruiken Restricted Pod Security en default-deny netwerkbeleid.</w:t>
      </w:r>
    </w:p>
    <w:p>
      <w:pPr>
        <w:pStyle w:val="Heading1"/>
      </w:pPr>
      <w:r>
        <w:t>8. Secure development en CI</w:t>
      </w:r>
    </w:p>
    <w:p>
      <w:pPr>
        <w:pStyle w:val="ListBullet"/>
        <w:spacing w:after="40"/>
        <w:ind w:left="227"/>
      </w:pPr>
      <w:r>
        <w:t>Pull/push-CI lint, typecheckt en test relevante backend/frontend/microservices.</w:t>
      </w:r>
    </w:p>
    <w:p>
      <w:pPr>
        <w:pStyle w:val="ListBullet"/>
        <w:spacing w:after="40"/>
        <w:ind w:left="227"/>
      </w:pPr>
      <w:r>
        <w:t>Database-migraties en schema compatibility worden geverifieerd vóór imagepromotie.</w:t>
      </w:r>
    </w:p>
    <w:p>
      <w:pPr>
        <w:pStyle w:val="ListBullet"/>
        <w:spacing w:after="40"/>
        <w:ind w:left="227"/>
      </w:pPr>
      <w:r>
        <w:t>Gitleaks scant volledige relevante Git-historie op secrets.</w:t>
      </w:r>
    </w:p>
    <w:p>
      <w:pPr>
        <w:pStyle w:val="ListBullet"/>
        <w:spacing w:after="40"/>
        <w:ind w:left="227"/>
      </w:pPr>
      <w:r>
        <w:t>pip-audit en npm audit controleren dependencykwetsbaarheden.</w:t>
      </w:r>
    </w:p>
    <w:p>
      <w:pPr>
        <w:pStyle w:val="ListBullet"/>
        <w:spacing w:after="40"/>
        <w:ind w:left="227"/>
      </w:pPr>
      <w:r>
        <w:t>Trivy scant repository en productieimages op HIGH/CRITICAL kwetsbaarheden en faalt de build bij toepasselijke findings.</w:t>
      </w:r>
    </w:p>
    <w:p>
      <w:pPr>
        <w:pStyle w:val="ListBullet"/>
        <w:spacing w:after="40"/>
        <w:ind w:left="227"/>
      </w:pPr>
      <w:r>
        <w:t>CycloneDX-SBOM's worden voor backend/frontend-images gegenereerd en 365 dagen als CI-artifact bewaard.</w:t>
      </w:r>
    </w:p>
    <w:p>
      <w:pPr>
        <w:pStyle w:val="ListBullet"/>
        <w:spacing w:after="40"/>
        <w:ind w:left="227"/>
      </w:pPr>
      <w:r>
        <w:t>OSV Scanner vormt een tweede CVE-gate op de SBOM's.</w:t>
      </w:r>
    </w:p>
    <w:p>
      <w:pPr>
        <w:pStyle w:val="ListBullet"/>
        <w:spacing w:after="40"/>
        <w:ind w:left="227"/>
      </w:pPr>
      <w:r>
        <w:t>Container/images worden waar in manifests zichtbaar via digests gepind.</w:t>
      </w:r>
    </w:p>
    <w:p>
      <w:pPr>
        <w:pStyle w:val="Heading1"/>
      </w:pPr>
      <w:r>
        <w:t>9. Logging en audit</w:t>
      </w:r>
    </w:p>
    <w:p>
      <w:pPr>
        <w:pStyle w:val="ListBullet"/>
        <w:spacing w:after="40"/>
        <w:ind w:left="227"/>
      </w:pPr>
      <w:r>
        <w:t>Security- en beheeracties worden gelogd; prompt/responsecontent wordt niet als gewone observabilitypayload gelogd.</w:t>
      </w:r>
    </w:p>
    <w:p>
      <w:pPr>
        <w:pStyle w:val="ListBullet"/>
        <w:spacing w:after="40"/>
        <w:ind w:left="227"/>
      </w:pPr>
      <w:r>
        <w:t>Auditrecords zijn tenantgebonden en gevoelige details kunnen versleuteld zijn.</w:t>
      </w:r>
    </w:p>
    <w:p>
      <w:pPr>
        <w:pStyle w:val="ListBullet"/>
        <w:spacing w:after="40"/>
        <w:ind w:left="227"/>
      </w:pPr>
      <w:r>
        <w:t>De applicatie ondersteunt een auditketen; externe digest-signing staat op uitgiftedatum uit. Daarom wordt geen extern cryptografisch onveranderlijk auditbewijs geclaimd.</w:t>
      </w:r>
    </w:p>
    <w:p>
      <w:pPr>
        <w:pStyle w:val="ListBullet"/>
        <w:spacing w:after="40"/>
        <w:ind w:left="227"/>
      </w:pPr>
      <w:r>
        <w:t>Ruwe cookieless websiteanalytics bewaren geen IP en geen identifier die langer dan de dag voortleeft volgens de huidige implementatie; ruwe events maximaal 90 dagen.</w:t>
      </w:r>
    </w:p>
    <w:p>
      <w:pPr>
        <w:pStyle w:val="Heading1"/>
      </w:pPr>
      <w:r>
        <w:t>10. Malware-, vulnerability- en patchmanagement</w:t>
      </w:r>
    </w:p>
    <w:p>
      <w:pPr>
        <w:spacing w:after="100"/>
      </w:pPr>
      <w:r>
        <w:t>Nieuwe HIGH/CRITICAL dependency-/imagekwetsbaarheden blokkeren de CI waar de workflow ze als fixable/relevant detecteert. Productiepatches worden op ernst, exploitability, exposure en beschikbaarheid van fix beoordeeld. Kritieke actief misbruikte kwetsbaarheden krijgen voorrang boven gewone releaseplanning. Zie document 14.</w:t>
      </w:r>
    </w:p>
    <w:p>
      <w:pPr>
        <w:pStyle w:val="Heading1"/>
      </w:pPr>
      <w:r>
        <w:t>11. Incidentrespons</w:t>
      </w:r>
    </w:p>
    <w:p>
      <w:pPr>
        <w:spacing w:after="100"/>
      </w:pPr>
      <w:r>
        <w:t>Securitymeldingen: security@summalabs.ai. Incidenten worden geregistreerd, geclassificeerd, ingedamd, onderzocht en afgesloten met root cause en corrective actions. Processorincidenten krijgen een interne klantmeldingsdoelstelling van 24 uur na bevestiging; wettelijke termijnen blijven leidend. Zie document 15.</w:t>
      </w:r>
    </w:p>
    <w:p>
      <w:pPr>
        <w:pStyle w:val="Heading1"/>
      </w:pPr>
      <w:r>
        <w:t>12. Beschikbaarheid, backup en herstel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200"/>
      </w:tblGrid>
      <w:tr>
        <w:tc>
          <w:tcPr>
            <w:tcW w:type="dxa" w:w="10200"/>
            <w:shd w:fill="F8EDE8"/>
          </w:tcPr>
          <w:p>
            <w:pPr>
              <w:spacing w:after="0"/>
            </w:pPr>
            <w:r/>
            <w:r>
              <w:rPr>
                <w:rFonts w:ascii="Liberation Sans" w:hAnsi="Liberation Sans"/>
                <w:b/>
                <w:color w:val="9B2C2C"/>
                <w:sz w:val="18"/>
              </w:rPr>
              <w:t>Er is op 28 augustus 2026 geen operationele off-cluster backup in de live deployment. Daardoor claimt Summa geen productie-RPO/RTO en mag de omgeving niet de enige opslag zijn van informatie die niet verloren mag gaan.</w:t>
            </w:r>
          </w:p>
        </w:tc>
      </w:tr>
    </w:tbl>
    <w:p/>
    <w:p>
      <w:pPr>
        <w:spacing w:after="100"/>
      </w:pPr>
      <w:r>
        <w:t>Na productieactivering moeten backups versleuteld, logisch gescheiden en herstelbaar zijn; een echte restore drill is de acceptatievoorwaarde. Zie document 15.</w:t>
      </w:r>
    </w:p>
    <w:p>
      <w:pPr>
        <w:pStyle w:val="Heading1"/>
      </w:pPr>
      <w:r>
        <w:t>13. Verwijdering</w:t>
      </w:r>
    </w:p>
    <w:p>
      <w:pPr>
        <w:spacing w:after="100"/>
      </w:pPr>
      <w:r>
        <w:t>Account-/tenantverwijdering gebruikt een durable erasure-receipt met retries voor componenten zoals PostgreSQL, Redis, identity en observability. Bestanden worden via deletion queues uit objectstorage verwijderd. Retentiepurges zijn tenantaware en tijdelijke chats hebben een aparte max-24h purge.</w:t>
      </w:r>
    </w:p>
    <w:p>
      <w:pPr>
        <w:pStyle w:val="Heading1"/>
      </w:pPr>
      <w:r>
        <w:t>14. Security-openpunten vóór gemeentelijke productie</w:t>
      </w:r>
    </w:p>
    <w:p>
      <w:pPr>
        <w:pStyle w:val="ListBullet"/>
        <w:spacing w:after="40"/>
        <w:ind w:left="227"/>
      </w:pPr>
      <w:r>
        <w:t>operationele off-cluster backup + restorebewijs;</w:t>
      </w:r>
    </w:p>
    <w:p>
      <w:pPr>
        <w:pStyle w:val="ListBullet"/>
        <w:spacing w:after="40"/>
        <w:ind w:left="227"/>
      </w:pPr>
      <w:r>
        <w:t>MFA voor het afgesproken gemeentelijke identityprofiel;</w:t>
      </w:r>
    </w:p>
    <w:p>
      <w:pPr>
        <w:pStyle w:val="ListBullet"/>
        <w:spacing w:after="40"/>
        <w:ind w:left="227"/>
      </w:pPr>
      <w:r>
        <w:t>onafhankelijke penetratietest met tenantisolatiescope en gesloten kritieke/high findings;</w:t>
      </w:r>
    </w:p>
    <w:p>
      <w:pPr>
        <w:pStyle w:val="ListBullet"/>
        <w:spacing w:after="40"/>
        <w:ind w:left="227"/>
      </w:pPr>
      <w:r>
        <w:t>jaarlijkse onafhankelijke assurance volgens GIBIT artikel 38 of geaccepteerde equivalent;</w:t>
      </w:r>
    </w:p>
    <w:p>
      <w:pPr>
        <w:pStyle w:val="ListBullet"/>
        <w:spacing w:after="40"/>
        <w:ind w:left="227"/>
      </w:pPr>
      <w:r>
        <w:t>extern bewijs van beroeps-/bedrijfsaansprakelijkheidsverzekering;</w:t>
      </w:r>
    </w:p>
    <w:p>
      <w:pPr>
        <w:pStyle w:val="ListBullet"/>
        <w:spacing w:after="40"/>
        <w:ind w:left="227"/>
      </w:pPr>
      <w:r>
        <w:t>volledige runtime-SBOM voor alle productiecomponenten, niet alleen backend/frontend;</w:t>
      </w:r>
    </w:p>
    <w:p>
      <w:pPr>
        <w:pStyle w:val="ListBullet"/>
        <w:spacing w:after="40"/>
        <w:ind w:left="227"/>
      </w:pPr>
      <w:r>
        <w:t>formele verificatie van provider-DPA's en doorgifteposities, inclusief Leafcloud als infrastructuur- en inferenceprovider.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64" w:right="1020" w:bottom="964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Liberation Sans" w:hAnsi="Liberation Sans"/>
        <w:color w:val="6E6257"/>
        <w:sz w:val="14"/>
      </w:rPr>
      <w:t xml:space="preserve">Technische en organisatorische maatregelen (TOM's)  •  v1.0  • 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right"/>
    </w:pPr>
    <w:r>
      <w:rPr>
        <w:b/>
        <w:color w:val="3A5A78"/>
        <w:sz w:val="15"/>
      </w:rPr>
      <w:t>SUMMA  /  COMPLIANCE &amp; TRUST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Liberation Sans" w:hAnsi="Liberation Sans"/>
      <w:color w:val="1A1008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60" w:after="80"/>
      <w:outlineLvl w:val="0"/>
    </w:pPr>
    <w:rPr>
      <w:rFonts w:asciiTheme="majorHAnsi" w:eastAsiaTheme="majorEastAsia" w:hAnsiTheme="majorHAnsi" w:cstheme="majorBidi" w:ascii="Liberation Sans" w:hAnsi="Liberation Sans"/>
      <w:b/>
      <w:bCs/>
      <w:color w:val="3A5A78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 w:ascii="Liberation Sans" w:hAnsi="Liberation Sans"/>
      <w:b/>
      <w:bCs/>
      <w:color w:val="C8963E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Liberation Sans" w:hAnsi="Liberation Sans"/>
      <w:b/>
      <w:bCs/>
      <w:color w:val="3A5A78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80" w:line="240" w:lineRule="auto" w:before="160"/>
      <w:contextualSpacing/>
    </w:pPr>
    <w:rPr>
      <w:rFonts w:asciiTheme="majorHAnsi" w:eastAsiaTheme="majorEastAsia" w:hAnsiTheme="majorHAnsi" w:cstheme="majorBidi" w:ascii="Liberation Sans" w:hAnsi="Liberation Sans"/>
      <w:b/>
      <w:color w:val="1A1008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Summa</dc:creator>
  <cp:keywords/>
  <dc:description/>
  <cp:lastModifiedBy>Summa</cp:lastModifiedBy>
  <cp:revision>1</cp:revision>
  <dcterms:created xsi:type="dcterms:W3CDTF">2013-12-23T23:15:00Z</dcterms:created>
  <dcterms:modified xsi:type="dcterms:W3CDTF">2013-12-23T23:15:00Z</dcterms:modified>
  <cp:category/>
</cp:coreProperties>
</file>