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Subverwerkers-, integratie- en datalocatieregister</w:t>
      </w:r>
    </w:p>
    <w:tbl>
      <w:tblPr>
        <w:tblStyle w:val="TableGrid"/>
        <w:tblW w:type="auto" w:w="0"/>
        <w:jc w:val="left"/>
        <w:tblLook w:firstColumn="1" w:firstRow="1" w:lastColumn="0" w:lastRow="0" w:noHBand="0" w:noVBand="1" w:val="04A0"/>
      </w:tblPr>
      <w:tblGrid>
        <w:gridCol w:w="5100"/>
        <w:gridCol w:w="5100"/>
      </w:tblGrid>
      <w:tr>
        <w:tc>
          <w:tcPr>
            <w:tcW w:type="dxa" w:w="5100"/>
            <w:shd w:fill="F7F2E8"/>
          </w:tcPr>
          <w:p>
            <w:pPr>
              <w:spacing w:after="0"/>
            </w:pPr>
            <w:r/>
            <w:r>
              <w:rPr>
                <w:rFonts w:ascii="Liberation Sans" w:hAnsi="Liberation Sans"/>
                <w:b/>
                <w:color w:val="3A5A78"/>
                <w:sz w:val="17"/>
              </w:rPr>
              <w:t>Status</w:t>
            </w:r>
          </w:p>
        </w:tc>
        <w:tc>
          <w:tcPr>
            <w:tcW w:type="dxa" w:w="5100"/>
          </w:tcPr>
          <w:p>
            <w:pPr>
              <w:spacing w:after="0"/>
            </w:pPr>
            <w:r/>
            <w:r>
              <w:rPr>
                <w:rFonts w:ascii="Liberation Sans" w:hAnsi="Liberation Sans"/>
                <w:b w:val="0"/>
                <w:color w:val="1A1008"/>
                <w:sz w:val="17"/>
              </w:rPr>
              <w:t>Geldend leveranciersdocument</w:t>
            </w:r>
          </w:p>
        </w:tc>
      </w:tr>
      <w:tr>
        <w:tc>
          <w:tcPr>
            <w:tcW w:type="dxa" w:w="5100"/>
            <w:shd w:fill="F7F2E8"/>
          </w:tcPr>
          <w:p>
            <w:pPr>
              <w:spacing w:after="0"/>
            </w:pPr>
            <w:r/>
            <w:r>
              <w:rPr>
                <w:rFonts w:ascii="Liberation Sans" w:hAnsi="Liberation Sans"/>
                <w:b/>
                <w:color w:val="3A5A78"/>
                <w:sz w:val="17"/>
              </w:rPr>
              <w:t>Versie / uitgiftedatum</w:t>
            </w:r>
          </w:p>
        </w:tc>
        <w:tc>
          <w:tcPr>
            <w:tcW w:type="dxa" w:w="5100"/>
          </w:tcPr>
          <w:p>
            <w:pPr>
              <w:spacing w:after="0"/>
            </w:pPr>
            <w:r/>
            <w:r>
              <w:rPr>
                <w:rFonts w:ascii="Liberation Sans" w:hAnsi="Liberation Sans"/>
                <w:b w:val="0"/>
                <w:color w:val="1A1008"/>
                <w:sz w:val="17"/>
              </w:rPr>
              <w:t>1.0 / 28 augustus 2026</w:t>
            </w:r>
          </w:p>
        </w:tc>
      </w:tr>
      <w:tr>
        <w:tc>
          <w:tcPr>
            <w:tcW w:type="dxa" w:w="5100"/>
            <w:shd w:fill="F7F2E8"/>
          </w:tcPr>
          <w:p>
            <w:pPr>
              <w:spacing w:after="0"/>
            </w:pPr>
            <w:r/>
            <w:r>
              <w:rPr>
                <w:rFonts w:ascii="Liberation Sans" w:hAnsi="Liberation Sans"/>
                <w:b/>
                <w:color w:val="3A5A78"/>
                <w:sz w:val="17"/>
              </w:rPr>
              <w:t>Documenteigenaar</w:t>
            </w:r>
          </w:p>
        </w:tc>
        <w:tc>
          <w:tcPr>
            <w:tcW w:type="dxa" w:w="5100"/>
          </w:tcPr>
          <w:p>
            <w:pPr>
              <w:spacing w:after="0"/>
            </w:pPr>
            <w:r/>
            <w:r>
              <w:rPr>
                <w:rFonts w:ascii="Liberation Sans" w:hAnsi="Liberation Sans"/>
                <w:b w:val="0"/>
                <w:color w:val="1A1008"/>
                <w:sz w:val="17"/>
              </w:rPr>
              <w:t>Schmeitzke, handelend onder de namen Summa en Summa Labs</w:t>
            </w:r>
          </w:p>
        </w:tc>
      </w:tr>
      <w:tr>
        <w:tc>
          <w:tcPr>
            <w:tcW w:type="dxa" w:w="5100"/>
            <w:shd w:fill="F7F2E8"/>
          </w:tcPr>
          <w:p>
            <w:pPr>
              <w:spacing w:after="0"/>
            </w:pPr>
            <w:r/>
            <w:r>
              <w:rPr>
                <w:rFonts w:ascii="Liberation Sans" w:hAnsi="Liberation Sans"/>
                <w:b/>
                <w:color w:val="3A5A78"/>
                <w:sz w:val="17"/>
              </w:rPr>
              <w:t>Classificatie</w:t>
            </w:r>
          </w:p>
        </w:tc>
        <w:tc>
          <w:tcPr>
            <w:tcW w:type="dxa" w:w="5100"/>
          </w:tcPr>
          <w:p>
            <w:pPr>
              <w:spacing w:after="0"/>
            </w:pPr>
            <w:r/>
            <w:r>
              <w:rPr>
                <w:rFonts w:ascii="Liberation Sans" w:hAnsi="Liberation Sans"/>
                <w:b w:val="0"/>
                <w:color w:val="1A1008"/>
                <w:sz w:val="17"/>
              </w:rPr>
              <w:t>Publiek / due diligence</w:t>
            </w:r>
          </w:p>
        </w:tc>
      </w:tr>
    </w:tbl>
    <w:p/>
    <w:p>
      <w:pPr>
        <w:pStyle w:val="Heading1"/>
      </w:pPr>
      <w:r>
        <w:t>1. Doel en leeswijzer</w:t>
      </w:r>
    </w:p>
    <w:p>
      <w:pPr>
        <w:spacing w:after="100"/>
      </w:pPr>
      <w:r>
        <w:t>Dit register beschrijft de actuele bekende externe partijen en belangrijke provider-native integraties in de productiearchitectuur op repositorycommit d35c1d627f4a429eefcda6cf73a4a5f2306c39f9. De juridische rol verschilt per stroom: een infrastructuurpartij kan subverwerker zijn, terwijl een klantgekozen SaaS-bron vaak rechtstreeks door de klant wordt gecontracteerd en slechts bron/ontvanger is.</w:t>
      </w:r>
    </w:p>
    <w:p>
      <w:pPr>
        <w:pStyle w:val="Heading1"/>
      </w:pPr>
      <w:r>
        <w:t>2. Door Summa geselecteerde dienstverleners</w:t>
      </w:r>
    </w:p>
    <w:tbl>
      <w:tblPr>
        <w:tblStyle w:val="TableGrid"/>
        <w:tblW w:type="auto" w:w="0"/>
        <w:jc w:val="left"/>
        <w:tblLook w:firstColumn="1" w:firstRow="1" w:lastColumn="0" w:lastRow="0" w:noHBand="0" w:noVBand="1" w:val="04A0"/>
      </w:tblPr>
      <w:tblGrid>
        <w:gridCol w:w="2040"/>
        <w:gridCol w:w="2040"/>
        <w:gridCol w:w="2040"/>
        <w:gridCol w:w="2040"/>
        <w:gridCol w:w="2040"/>
      </w:tblGrid>
      <w:tr>
        <w:tc>
          <w:tcPr>
            <w:tcW w:type="dxa" w:w="2040"/>
            <w:shd w:fill="3A5A78"/>
            <w:vAlign w:val="center"/>
          </w:tcPr>
          <w:p>
            <w:pPr>
              <w:spacing w:after="0"/>
            </w:pPr>
            <w:r/>
            <w:r>
              <w:rPr>
                <w:rFonts w:ascii="Liberation Sans" w:hAnsi="Liberation Sans"/>
                <w:b/>
                <w:color w:val="FFFFFF"/>
                <w:sz w:val="16"/>
              </w:rPr>
              <w:t>Partij</w:t>
            </w:r>
          </w:p>
        </w:tc>
        <w:tc>
          <w:tcPr>
            <w:tcW w:type="dxa" w:w="2040"/>
            <w:shd w:fill="3A5A78"/>
            <w:vAlign w:val="center"/>
          </w:tcPr>
          <w:p>
            <w:pPr>
              <w:spacing w:after="0"/>
            </w:pPr>
            <w:r/>
            <w:r>
              <w:rPr>
                <w:rFonts w:ascii="Liberation Sans" w:hAnsi="Liberation Sans"/>
                <w:b/>
                <w:color w:val="FFFFFF"/>
                <w:sz w:val="16"/>
              </w:rPr>
              <w:t>Functie</w:t>
            </w:r>
          </w:p>
        </w:tc>
        <w:tc>
          <w:tcPr>
            <w:tcW w:type="dxa" w:w="2040"/>
            <w:shd w:fill="3A5A78"/>
            <w:vAlign w:val="center"/>
          </w:tcPr>
          <w:p>
            <w:pPr>
              <w:spacing w:after="0"/>
            </w:pPr>
            <w:r/>
            <w:r>
              <w:rPr>
                <w:rFonts w:ascii="Liberation Sans" w:hAnsi="Liberation Sans"/>
                <w:b/>
                <w:color w:val="FFFFFF"/>
                <w:sz w:val="16"/>
              </w:rPr>
              <w:t>Gegevens</w:t>
            </w:r>
          </w:p>
        </w:tc>
        <w:tc>
          <w:tcPr>
            <w:tcW w:type="dxa" w:w="2040"/>
            <w:shd w:fill="3A5A78"/>
            <w:vAlign w:val="center"/>
          </w:tcPr>
          <w:p>
            <w:pPr>
              <w:spacing w:after="0"/>
            </w:pPr>
            <w:r/>
            <w:r>
              <w:rPr>
                <w:rFonts w:ascii="Liberation Sans" w:hAnsi="Liberation Sans"/>
                <w:b/>
                <w:color w:val="FFFFFF"/>
                <w:sz w:val="16"/>
              </w:rPr>
              <w:t>Locatie/jurisdictie</w:t>
            </w:r>
          </w:p>
        </w:tc>
        <w:tc>
          <w:tcPr>
            <w:tcW w:type="dxa" w:w="2040"/>
            <w:shd w:fill="3A5A78"/>
            <w:vAlign w:val="center"/>
          </w:tcPr>
          <w:p>
            <w:pPr>
              <w:spacing w:after="0"/>
            </w:pPr>
            <w:r/>
            <w:r>
              <w:rPr>
                <w:rFonts w:ascii="Liberation Sans" w:hAnsi="Liberation Sans"/>
                <w:b/>
                <w:color w:val="FFFFFF"/>
                <w:sz w:val="16"/>
              </w:rPr>
              <w:t>Rol/positie</w:t>
            </w:r>
          </w:p>
        </w:tc>
      </w:tr>
      <w:tr>
        <w:tc>
          <w:tcPr>
            <w:tcW w:type="dxa" w:w="2040"/>
            <w:vAlign w:val="top"/>
          </w:tcPr>
          <w:p>
            <w:pPr>
              <w:spacing w:after="0"/>
            </w:pPr>
            <w:r/>
            <w:r>
              <w:rPr>
                <w:rFonts w:ascii="Liberation Sans" w:hAnsi="Liberation Sans"/>
                <w:b w:val="0"/>
                <w:color w:val="1A1008"/>
                <w:sz w:val="16"/>
              </w:rPr>
              <w:t>Leafcloud B.V.</w:t>
            </w:r>
          </w:p>
        </w:tc>
        <w:tc>
          <w:tcPr>
            <w:tcW w:type="dxa" w:w="2040"/>
            <w:vAlign w:val="top"/>
          </w:tcPr>
          <w:p>
            <w:pPr>
              <w:spacing w:after="0"/>
            </w:pPr>
            <w:r/>
            <w:r>
              <w:rPr>
                <w:rFonts w:ascii="Liberation Sans" w:hAnsi="Liberation Sans"/>
                <w:b w:val="0"/>
                <w:color w:val="1A1008"/>
                <w:sz w:val="16"/>
              </w:rPr>
              <w:t>Kubernetes/CPU- en GPU-compute, netwerk, opslag en zelfgehoste AI-inference op NVIDIA RTX 6000-serie</w:t>
            </w:r>
          </w:p>
        </w:tc>
        <w:tc>
          <w:tcPr>
            <w:tcW w:type="dxa" w:w="2040"/>
            <w:vAlign w:val="top"/>
          </w:tcPr>
          <w:p>
            <w:pPr>
              <w:spacing w:after="0"/>
            </w:pPr>
            <w:r/>
            <w:r>
              <w:rPr>
                <w:rFonts w:ascii="Liberation Sans" w:hAnsi="Liberation Sans"/>
                <w:b w:val="0"/>
                <w:color w:val="1A1008"/>
                <w:sz w:val="16"/>
              </w:rPr>
              <w:t>Accounts, chats, bestanden, audit/operationele data, prompt/modelcontext en gegenereerde tokens</w:t>
            </w:r>
          </w:p>
        </w:tc>
        <w:tc>
          <w:tcPr>
            <w:tcW w:type="dxa" w:w="2040"/>
            <w:vAlign w:val="top"/>
          </w:tcPr>
          <w:p>
            <w:pPr>
              <w:spacing w:after="0"/>
            </w:pPr>
            <w:r/>
            <w:r>
              <w:rPr>
                <w:rFonts w:ascii="Liberation Sans" w:hAnsi="Liberation Sans"/>
                <w:b w:val="0"/>
                <w:color w:val="1A1008"/>
                <w:sz w:val="16"/>
              </w:rPr>
              <w:t>Nederland; Nederlandse leverancier</w:t>
            </w:r>
          </w:p>
        </w:tc>
        <w:tc>
          <w:tcPr>
            <w:tcW w:type="dxa" w:w="2040"/>
            <w:vAlign w:val="top"/>
          </w:tcPr>
          <w:p>
            <w:pPr>
              <w:spacing w:after="0"/>
            </w:pPr>
            <w:r/>
            <w:r>
              <w:rPr>
                <w:rFonts w:ascii="Liberation Sans" w:hAnsi="Liberation Sans"/>
                <w:b w:val="0"/>
                <w:color w:val="1A1008"/>
                <w:sz w:val="16"/>
              </w:rPr>
              <w:t>Beoogde subverwerker; provider-DPA vereist en actueel houden</w:t>
            </w:r>
          </w:p>
        </w:tc>
      </w:tr>
      <w:tr>
        <w:tc>
          <w:tcPr>
            <w:tcW w:type="dxa" w:w="2040"/>
            <w:vAlign w:val="top"/>
            <w:shd w:fill="FBF8F2"/>
          </w:tcPr>
          <w:p>
            <w:pPr>
              <w:spacing w:after="0"/>
            </w:pPr>
            <w:r/>
            <w:r>
              <w:rPr>
                <w:rFonts w:ascii="Liberation Sans" w:hAnsi="Liberation Sans"/>
                <w:b w:val="0"/>
                <w:color w:val="1A1008"/>
                <w:sz w:val="16"/>
              </w:rPr>
              <w:t>Resend / Plus Five Five, Inc.</w:t>
            </w:r>
          </w:p>
        </w:tc>
        <w:tc>
          <w:tcPr>
            <w:tcW w:type="dxa" w:w="2040"/>
            <w:vAlign w:val="top"/>
            <w:shd w:fill="FBF8F2"/>
          </w:tcPr>
          <w:p>
            <w:pPr>
              <w:spacing w:after="0"/>
            </w:pPr>
            <w:r/>
            <w:r>
              <w:rPr>
                <w:rFonts w:ascii="Liberation Sans" w:hAnsi="Liberation Sans"/>
                <w:b w:val="0"/>
                <w:color w:val="1A1008"/>
                <w:sz w:val="16"/>
              </w:rPr>
              <w:t>Transactionele e-mail</w:t>
            </w:r>
          </w:p>
        </w:tc>
        <w:tc>
          <w:tcPr>
            <w:tcW w:type="dxa" w:w="2040"/>
            <w:vAlign w:val="top"/>
            <w:shd w:fill="FBF8F2"/>
          </w:tcPr>
          <w:p>
            <w:pPr>
              <w:spacing w:after="0"/>
            </w:pPr>
            <w:r/>
            <w:r>
              <w:rPr>
                <w:rFonts w:ascii="Liberation Sans" w:hAnsi="Liberation Sans"/>
                <w:b w:val="0"/>
                <w:color w:val="1A1008"/>
                <w:sz w:val="16"/>
              </w:rPr>
              <w:t>E-mailadres, naam, e-mailtekst, deliverymetadata</w:t>
            </w:r>
          </w:p>
        </w:tc>
        <w:tc>
          <w:tcPr>
            <w:tcW w:type="dxa" w:w="2040"/>
            <w:vAlign w:val="top"/>
            <w:shd w:fill="FBF8F2"/>
          </w:tcPr>
          <w:p>
            <w:pPr>
              <w:spacing w:after="0"/>
            </w:pPr>
            <w:r/>
            <w:r>
              <w:rPr>
                <w:rFonts w:ascii="Liberation Sans" w:hAnsi="Liberation Sans"/>
                <w:b w:val="0"/>
                <w:color w:val="1A1008"/>
                <w:sz w:val="16"/>
              </w:rPr>
              <w:t>Verenigde Staten en gedocumenteerde subprocessors</w:t>
            </w:r>
          </w:p>
        </w:tc>
        <w:tc>
          <w:tcPr>
            <w:tcW w:type="dxa" w:w="2040"/>
            <w:vAlign w:val="top"/>
            <w:shd w:fill="FBF8F2"/>
          </w:tcPr>
          <w:p>
            <w:pPr>
              <w:spacing w:after="0"/>
            </w:pPr>
            <w:r/>
            <w:r>
              <w:rPr>
                <w:rFonts w:ascii="Liberation Sans" w:hAnsi="Liberation Sans"/>
                <w:b w:val="0"/>
                <w:color w:val="1A1008"/>
                <w:sz w:val="16"/>
              </w:rPr>
              <w:t>Subverwerker voor e-mail; internationale doorgifte; geen prompts/documenten in mails</w:t>
            </w:r>
          </w:p>
        </w:tc>
      </w:tr>
      <w:tr>
        <w:tc>
          <w:tcPr>
            <w:tcW w:type="dxa" w:w="2040"/>
            <w:vAlign w:val="top"/>
          </w:tcPr>
          <w:p>
            <w:pPr>
              <w:spacing w:after="0"/>
            </w:pPr>
            <w:r/>
            <w:r>
              <w:rPr>
                <w:rFonts w:ascii="Liberation Sans" w:hAnsi="Liberation Sans"/>
                <w:b w:val="0"/>
                <w:color w:val="1A1008"/>
                <w:sz w:val="16"/>
              </w:rPr>
              <w:t>Stripe Payments Europe, Ltd. en Stripe-groep</w:t>
            </w:r>
          </w:p>
        </w:tc>
        <w:tc>
          <w:tcPr>
            <w:tcW w:type="dxa" w:w="2040"/>
            <w:vAlign w:val="top"/>
          </w:tcPr>
          <w:p>
            <w:pPr>
              <w:spacing w:after="0"/>
            </w:pPr>
            <w:r/>
            <w:r>
              <w:rPr>
                <w:rFonts w:ascii="Liberation Sans" w:hAnsi="Liberation Sans"/>
                <w:b w:val="0"/>
                <w:color w:val="1A1008"/>
                <w:sz w:val="16"/>
              </w:rPr>
              <w:t>Checkout, abonnement, facturering/fraudepreventie</w:t>
            </w:r>
          </w:p>
        </w:tc>
        <w:tc>
          <w:tcPr>
            <w:tcW w:type="dxa" w:w="2040"/>
            <w:vAlign w:val="top"/>
          </w:tcPr>
          <w:p>
            <w:pPr>
              <w:spacing w:after="0"/>
            </w:pPr>
            <w:r/>
            <w:r>
              <w:rPr>
                <w:rFonts w:ascii="Liberation Sans" w:hAnsi="Liberation Sans"/>
                <w:b w:val="0"/>
                <w:color w:val="1A1008"/>
                <w:sz w:val="16"/>
              </w:rPr>
              <w:t>Betaal- en factuurdata, transactie/fraudetadata</w:t>
            </w:r>
          </w:p>
        </w:tc>
        <w:tc>
          <w:tcPr>
            <w:tcW w:type="dxa" w:w="2040"/>
            <w:vAlign w:val="top"/>
          </w:tcPr>
          <w:p>
            <w:pPr>
              <w:spacing w:after="0"/>
            </w:pPr>
            <w:r/>
            <w:r>
              <w:rPr>
                <w:rFonts w:ascii="Liberation Sans" w:hAnsi="Liberation Sans"/>
                <w:b w:val="0"/>
                <w:color w:val="1A1008"/>
                <w:sz w:val="16"/>
              </w:rPr>
              <w:t>EER en mondiale Stripe-infrastructuur</w:t>
            </w:r>
          </w:p>
        </w:tc>
        <w:tc>
          <w:tcPr>
            <w:tcW w:type="dxa" w:w="2040"/>
            <w:vAlign w:val="top"/>
          </w:tcPr>
          <w:p>
            <w:pPr>
              <w:spacing w:after="0"/>
            </w:pPr>
            <w:r/>
            <w:r>
              <w:rPr>
                <w:rFonts w:ascii="Liberation Sans" w:hAnsi="Liberation Sans"/>
                <w:b w:val="0"/>
                <w:color w:val="1A1008"/>
                <w:sz w:val="16"/>
              </w:rPr>
              <w:t>Processor en/of zelfstandig verantwoordelijke afhankelijk van activiteit; geen chatinhoud nodig</w:t>
            </w:r>
          </w:p>
        </w:tc>
      </w:tr>
      <w:tr>
        <w:tc>
          <w:tcPr>
            <w:tcW w:type="dxa" w:w="2040"/>
            <w:vAlign w:val="top"/>
            <w:shd w:fill="FBF8F2"/>
          </w:tcPr>
          <w:p>
            <w:pPr>
              <w:spacing w:after="0"/>
            </w:pPr>
            <w:r/>
            <w:r>
              <w:rPr>
                <w:rFonts w:ascii="Liberation Sans" w:hAnsi="Liberation Sans"/>
                <w:b w:val="0"/>
                <w:color w:val="1A1008"/>
                <w:sz w:val="16"/>
              </w:rPr>
              <w:t>Linkup Technologies SAS</w:t>
            </w:r>
          </w:p>
        </w:tc>
        <w:tc>
          <w:tcPr>
            <w:tcW w:type="dxa" w:w="2040"/>
            <w:vAlign w:val="top"/>
            <w:shd w:fill="FBF8F2"/>
          </w:tcPr>
          <w:p>
            <w:pPr>
              <w:spacing w:after="0"/>
            </w:pPr>
            <w:r/>
            <w:r>
              <w:rPr>
                <w:rFonts w:ascii="Liberation Sans" w:hAnsi="Liberation Sans"/>
                <w:b w:val="0"/>
                <w:color w:val="1A1008"/>
                <w:sz w:val="16"/>
              </w:rPr>
              <w:t>Webzoekopdrachten en optionele Fetch-fallback</w:t>
            </w:r>
          </w:p>
        </w:tc>
        <w:tc>
          <w:tcPr>
            <w:tcW w:type="dxa" w:w="2040"/>
            <w:vAlign w:val="top"/>
            <w:shd w:fill="FBF8F2"/>
          </w:tcPr>
          <w:p>
            <w:pPr>
              <w:spacing w:after="0"/>
            </w:pPr>
            <w:r/>
            <w:r>
              <w:rPr>
                <w:rFonts w:ascii="Liberation Sans" w:hAnsi="Liberation Sans"/>
                <w:b w:val="0"/>
                <w:color w:val="1A1008"/>
                <w:sz w:val="16"/>
              </w:rPr>
              <w:t>Zoekquery, URL en voor de fetch benodigde webrequestmetadata</w:t>
            </w:r>
          </w:p>
        </w:tc>
        <w:tc>
          <w:tcPr>
            <w:tcW w:type="dxa" w:w="2040"/>
            <w:vAlign w:val="top"/>
            <w:shd w:fill="FBF8F2"/>
          </w:tcPr>
          <w:p>
            <w:pPr>
              <w:spacing w:after="0"/>
            </w:pPr>
            <w:r/>
            <w:r>
              <w:rPr>
                <w:rFonts w:ascii="Liberation Sans" w:hAnsi="Liberation Sans"/>
                <w:b w:val="0"/>
                <w:color w:val="1A1008"/>
                <w:sz w:val="16"/>
              </w:rPr>
              <w:t>Frankrijk/EU volgens providerinformatie</w:t>
            </w:r>
          </w:p>
        </w:tc>
        <w:tc>
          <w:tcPr>
            <w:tcW w:type="dxa" w:w="2040"/>
            <w:vAlign w:val="top"/>
            <w:shd w:fill="FBF8F2"/>
          </w:tcPr>
          <w:p>
            <w:pPr>
              <w:spacing w:after="0"/>
            </w:pPr>
            <w:r/>
            <w:r>
              <w:rPr>
                <w:rFonts w:ascii="Liberation Sans" w:hAnsi="Liberation Sans"/>
                <w:b w:val="0"/>
                <w:color w:val="1A1008"/>
                <w:sz w:val="16"/>
              </w:rPr>
              <w:t>Externe zoekdienst; contract/DPA en accountinstellingen bepalen exacte processorpositie/ZDR</w:t>
            </w:r>
          </w:p>
        </w:tc>
      </w:tr>
    </w:tbl>
    <w:p/>
    <w:p>
      <w:pPr>
        <w:pStyle w:val="Heading1"/>
      </w:pPr>
      <w:r>
        <w:t>3. Zelfgehoste kerncomponenten</w:t>
      </w:r>
    </w:p>
    <w:p>
      <w:pPr>
        <w:spacing w:after="100"/>
      </w:pPr>
      <w:r>
        <w:t>PostgreSQL/pgvector, Redis, MinIO-objectopslag, ZITADEL identity, Bifrost-gateway, web-retrieval broker, ClamAV, Tika/OCR, Python-executorcontroller/runtime en overige first-party services draaien binnen de door Summa beheerde infrastructuur. Zij zijn geen afzonderlijke externe subverwerkers, maar hun open-sourceleveranciers blijven softwareketenafhankelijkheden en worden in het SBOM/ketenregister bijgehouden.</w:t>
      </w:r>
    </w:p>
    <w:p>
      <w:pPr>
        <w:pStyle w:val="Heading1"/>
      </w:pPr>
      <w:r>
        <w:t>4. Klantgekozen integraties</w:t>
      </w:r>
    </w:p>
    <w:tbl>
      <w:tblPr>
        <w:tblStyle w:val="TableGrid"/>
        <w:tblW w:type="auto" w:w="0"/>
        <w:jc w:val="left"/>
        <w:tblLook w:firstColumn="1" w:firstRow="1" w:lastColumn="0" w:lastRow="0" w:noHBand="0" w:noVBand="1" w:val="04A0"/>
      </w:tblPr>
      <w:tblGrid>
        <w:gridCol w:w="2550"/>
        <w:gridCol w:w="2550"/>
        <w:gridCol w:w="2550"/>
        <w:gridCol w:w="2550"/>
      </w:tblGrid>
      <w:tr>
        <w:tc>
          <w:tcPr>
            <w:tcW w:type="dxa" w:w="2550"/>
            <w:shd w:fill="3A5A78"/>
            <w:vAlign w:val="center"/>
          </w:tcPr>
          <w:p>
            <w:pPr>
              <w:spacing w:after="0"/>
            </w:pPr>
            <w:r/>
            <w:r>
              <w:rPr>
                <w:rFonts w:ascii="Liberation Sans" w:hAnsi="Liberation Sans"/>
                <w:b/>
                <w:color w:val="FFFFFF"/>
                <w:sz w:val="16"/>
              </w:rPr>
              <w:t>Integratie</w:t>
            </w:r>
          </w:p>
        </w:tc>
        <w:tc>
          <w:tcPr>
            <w:tcW w:type="dxa" w:w="2550"/>
            <w:shd w:fill="3A5A78"/>
            <w:vAlign w:val="center"/>
          </w:tcPr>
          <w:p>
            <w:pPr>
              <w:spacing w:after="0"/>
            </w:pPr>
            <w:r/>
            <w:r>
              <w:rPr>
                <w:rFonts w:ascii="Liberation Sans" w:hAnsi="Liberation Sans"/>
                <w:b/>
                <w:color w:val="FFFFFF"/>
                <w:sz w:val="16"/>
              </w:rPr>
              <w:t>Toegang</w:t>
            </w:r>
          </w:p>
        </w:tc>
        <w:tc>
          <w:tcPr>
            <w:tcW w:type="dxa" w:w="2550"/>
            <w:shd w:fill="3A5A78"/>
            <w:vAlign w:val="center"/>
          </w:tcPr>
          <w:p>
            <w:pPr>
              <w:spacing w:after="0"/>
            </w:pPr>
            <w:r/>
            <w:r>
              <w:rPr>
                <w:rFonts w:ascii="Liberation Sans" w:hAnsi="Liberation Sans"/>
                <w:b/>
                <w:color w:val="FFFFFF"/>
                <w:sz w:val="16"/>
              </w:rPr>
              <w:t>Belangrijkste gegevensstroom</w:t>
            </w:r>
          </w:p>
        </w:tc>
        <w:tc>
          <w:tcPr>
            <w:tcW w:type="dxa" w:w="2550"/>
            <w:shd w:fill="3A5A78"/>
            <w:vAlign w:val="center"/>
          </w:tcPr>
          <w:p>
            <w:pPr>
              <w:spacing w:after="0"/>
            </w:pPr>
            <w:r/>
            <w:r>
              <w:rPr>
                <w:rFonts w:ascii="Liberation Sans" w:hAnsi="Liberation Sans"/>
                <w:b/>
                <w:color w:val="FFFFFF"/>
                <w:sz w:val="16"/>
              </w:rPr>
              <w:t>Bijzonder aandachtspunt</w:t>
            </w:r>
          </w:p>
        </w:tc>
      </w:tr>
      <w:tr>
        <w:tc>
          <w:tcPr>
            <w:tcW w:type="dxa" w:w="2550"/>
            <w:vAlign w:val="top"/>
          </w:tcPr>
          <w:p>
            <w:pPr>
              <w:spacing w:after="0"/>
            </w:pPr>
            <w:r/>
            <w:r>
              <w:rPr>
                <w:rFonts w:ascii="Liberation Sans" w:hAnsi="Liberation Sans"/>
                <w:b w:val="0"/>
                <w:color w:val="1A1008"/>
                <w:sz w:val="16"/>
              </w:rPr>
              <w:t>Google Drive</w:t>
            </w:r>
          </w:p>
        </w:tc>
        <w:tc>
          <w:tcPr>
            <w:tcW w:type="dxa" w:w="2550"/>
            <w:vAlign w:val="top"/>
          </w:tcPr>
          <w:p>
            <w:pPr>
              <w:spacing w:after="0"/>
            </w:pPr>
            <w:r/>
            <w:r>
              <w:rPr>
                <w:rFonts w:ascii="Liberation Sans" w:hAnsi="Liberation Sans"/>
                <w:b w:val="0"/>
                <w:color w:val="1A1008"/>
                <w:sz w:val="16"/>
              </w:rPr>
              <w:t>OAuth `drive.file`; door gebruiker geselecteerde bestanden</w:t>
            </w:r>
          </w:p>
        </w:tc>
        <w:tc>
          <w:tcPr>
            <w:tcW w:type="dxa" w:w="2550"/>
            <w:vAlign w:val="top"/>
          </w:tcPr>
          <w:p>
            <w:pPr>
              <w:spacing w:after="0"/>
            </w:pPr>
            <w:r/>
            <w:r>
              <w:rPr>
                <w:rFonts w:ascii="Liberation Sans" w:hAnsi="Liberation Sans"/>
                <w:b w:val="0"/>
                <w:color w:val="1A1008"/>
                <w:sz w:val="16"/>
              </w:rPr>
              <w:t>Geselecteerd bestand wordt opgehaald en daarna als Summa-attachment verwerkt</w:t>
            </w:r>
          </w:p>
        </w:tc>
        <w:tc>
          <w:tcPr>
            <w:tcW w:type="dxa" w:w="2550"/>
            <w:vAlign w:val="top"/>
          </w:tcPr>
          <w:p>
            <w:pPr>
              <w:spacing w:after="0"/>
            </w:pPr>
            <w:r/>
            <w:r>
              <w:rPr>
                <w:rFonts w:ascii="Liberation Sans" w:hAnsi="Liberation Sans"/>
                <w:b w:val="0"/>
                <w:color w:val="1A1008"/>
                <w:sz w:val="16"/>
              </w:rPr>
              <w:t>Kortlevend Google-token kan in browser nodig zijn voor Picker</w:t>
            </w:r>
          </w:p>
        </w:tc>
      </w:tr>
      <w:tr>
        <w:tc>
          <w:tcPr>
            <w:tcW w:type="dxa" w:w="2550"/>
            <w:vAlign w:val="top"/>
            <w:shd w:fill="FBF8F2"/>
          </w:tcPr>
          <w:p>
            <w:pPr>
              <w:spacing w:after="0"/>
            </w:pPr>
            <w:r/>
            <w:r>
              <w:rPr>
                <w:rFonts w:ascii="Liberation Sans" w:hAnsi="Liberation Sans"/>
                <w:b w:val="0"/>
                <w:color w:val="1A1008"/>
                <w:sz w:val="16"/>
              </w:rPr>
              <w:t>Microsoft OneDrive</w:t>
            </w:r>
          </w:p>
        </w:tc>
        <w:tc>
          <w:tcPr>
            <w:tcW w:type="dxa" w:w="2550"/>
            <w:vAlign w:val="top"/>
            <w:shd w:fill="FBF8F2"/>
          </w:tcPr>
          <w:p>
            <w:pPr>
              <w:spacing w:after="0"/>
            </w:pPr>
            <w:r/>
            <w:r>
              <w:rPr>
                <w:rFonts w:ascii="Liberation Sans" w:hAnsi="Liberation Sans"/>
                <w:b w:val="0"/>
                <w:color w:val="1A1008"/>
                <w:sz w:val="16"/>
              </w:rPr>
              <w:t>Read-only Files.Read</w:t>
            </w:r>
          </w:p>
        </w:tc>
        <w:tc>
          <w:tcPr>
            <w:tcW w:type="dxa" w:w="2550"/>
            <w:vAlign w:val="top"/>
            <w:shd w:fill="FBF8F2"/>
          </w:tcPr>
          <w:p>
            <w:pPr>
              <w:spacing w:after="0"/>
            </w:pPr>
            <w:r/>
            <w:r>
              <w:rPr>
                <w:rFonts w:ascii="Liberation Sans" w:hAnsi="Liberation Sans"/>
                <w:b w:val="0"/>
                <w:color w:val="1A1008"/>
                <w:sz w:val="16"/>
              </w:rPr>
              <w:t>Door gebruiker geselecteerd bestand</w:t>
            </w:r>
          </w:p>
        </w:tc>
        <w:tc>
          <w:tcPr>
            <w:tcW w:type="dxa" w:w="2550"/>
            <w:vAlign w:val="top"/>
            <w:shd w:fill="FBF8F2"/>
          </w:tcPr>
          <w:p>
            <w:pPr>
              <w:spacing w:after="0"/>
            </w:pPr>
            <w:r/>
            <w:r>
              <w:rPr>
                <w:rFonts w:ascii="Liberation Sans" w:hAnsi="Liberation Sans"/>
                <w:b w:val="0"/>
                <w:color w:val="1A1008"/>
                <w:sz w:val="16"/>
              </w:rPr>
              <w:t>Provider-native picker/auth; klanttenant/providervoorwaarden gelden</w:t>
            </w:r>
          </w:p>
        </w:tc>
      </w:tr>
      <w:tr>
        <w:tc>
          <w:tcPr>
            <w:tcW w:type="dxa" w:w="2550"/>
            <w:vAlign w:val="top"/>
          </w:tcPr>
          <w:p>
            <w:pPr>
              <w:spacing w:after="0"/>
            </w:pPr>
            <w:r/>
            <w:r>
              <w:rPr>
                <w:rFonts w:ascii="Liberation Sans" w:hAnsi="Liberation Sans"/>
                <w:b w:val="0"/>
                <w:color w:val="1A1008"/>
                <w:sz w:val="16"/>
              </w:rPr>
              <w:t>Dropbox</w:t>
            </w:r>
          </w:p>
        </w:tc>
        <w:tc>
          <w:tcPr>
            <w:tcW w:type="dxa" w:w="2550"/>
            <w:vAlign w:val="top"/>
          </w:tcPr>
          <w:p>
            <w:pPr>
              <w:spacing w:after="0"/>
            </w:pPr>
            <w:r/>
            <w:r>
              <w:rPr>
                <w:rFonts w:ascii="Liberation Sans" w:hAnsi="Liberation Sans"/>
                <w:b w:val="0"/>
                <w:color w:val="1A1008"/>
                <w:sz w:val="16"/>
              </w:rPr>
              <w:t>read-only scopes maar Full Dropbox access mode</w:t>
            </w:r>
          </w:p>
        </w:tc>
        <w:tc>
          <w:tcPr>
            <w:tcW w:type="dxa" w:w="2550"/>
            <w:vAlign w:val="top"/>
          </w:tcPr>
          <w:p>
            <w:pPr>
              <w:spacing w:after="0"/>
            </w:pPr>
            <w:r/>
            <w:r>
              <w:rPr>
                <w:rFonts w:ascii="Liberation Sans" w:hAnsi="Liberation Sans"/>
                <w:b w:val="0"/>
                <w:color w:val="1A1008"/>
                <w:sz w:val="16"/>
              </w:rPr>
              <w:t>Alleen IDs uit Dropbox Chooser worden door app opgehaald</w:t>
            </w:r>
          </w:p>
        </w:tc>
        <w:tc>
          <w:tcPr>
            <w:tcW w:type="dxa" w:w="2550"/>
            <w:vAlign w:val="top"/>
          </w:tcPr>
          <w:p>
            <w:pPr>
              <w:spacing w:after="0"/>
            </w:pPr>
            <w:r/>
            <w:r>
              <w:rPr>
                <w:rFonts w:ascii="Liberation Sans" w:hAnsi="Liberation Sans"/>
                <w:b w:val="0"/>
                <w:color w:val="1A1008"/>
                <w:sz w:val="16"/>
              </w:rPr>
              <w:t>Credential is technisch breder dan werkelijk appgedrag; geen per-file OAuth-boundary</w:t>
            </w:r>
          </w:p>
        </w:tc>
      </w:tr>
      <w:tr>
        <w:tc>
          <w:tcPr>
            <w:tcW w:type="dxa" w:w="2550"/>
            <w:vAlign w:val="top"/>
            <w:shd w:fill="FBF8F2"/>
          </w:tcPr>
          <w:p>
            <w:pPr>
              <w:spacing w:after="0"/>
            </w:pPr>
            <w:r/>
            <w:r>
              <w:rPr>
                <w:rFonts w:ascii="Liberation Sans" w:hAnsi="Liberation Sans"/>
                <w:b w:val="0"/>
                <w:color w:val="1A1008"/>
                <w:sz w:val="16"/>
              </w:rPr>
              <w:t>GitHub</w:t>
            </w:r>
          </w:p>
        </w:tc>
        <w:tc>
          <w:tcPr>
            <w:tcW w:type="dxa" w:w="2550"/>
            <w:vAlign w:val="top"/>
            <w:shd w:fill="FBF8F2"/>
          </w:tcPr>
          <w:p>
            <w:pPr>
              <w:spacing w:after="0"/>
            </w:pPr>
            <w:r/>
            <w:r>
              <w:rPr>
                <w:rFonts w:ascii="Liberation Sans" w:hAnsi="Liberation Sans"/>
                <w:b w:val="0"/>
                <w:color w:val="1A1008"/>
                <w:sz w:val="16"/>
              </w:rPr>
              <w:t>GitHub App; selectie = installatiebereik ∩ gebruikersrechten</w:t>
            </w:r>
          </w:p>
        </w:tc>
        <w:tc>
          <w:tcPr>
            <w:tcW w:type="dxa" w:w="2550"/>
            <w:vAlign w:val="top"/>
            <w:shd w:fill="FBF8F2"/>
          </w:tcPr>
          <w:p>
            <w:pPr>
              <w:spacing w:after="0"/>
            </w:pPr>
            <w:r/>
            <w:r>
              <w:rPr>
                <w:rFonts w:ascii="Liberation Sans" w:hAnsi="Liberation Sans"/>
                <w:b w:val="0"/>
                <w:color w:val="1A1008"/>
                <w:sz w:val="16"/>
              </w:rPr>
              <w:t>Geselecteerde repositorybestanden/context</w:t>
            </w:r>
          </w:p>
        </w:tc>
        <w:tc>
          <w:tcPr>
            <w:tcW w:type="dxa" w:w="2550"/>
            <w:vAlign w:val="top"/>
            <w:shd w:fill="FBF8F2"/>
          </w:tcPr>
          <w:p>
            <w:pPr>
              <w:spacing w:after="0"/>
            </w:pPr>
            <w:r/>
            <w:r>
              <w:rPr>
                <w:rFonts w:ascii="Liberation Sans" w:hAnsi="Liberation Sans"/>
                <w:b w:val="0"/>
                <w:color w:val="1A1008"/>
                <w:sz w:val="16"/>
              </w:rPr>
              <w:t>Providerrechten blijven leidend</w:t>
            </w:r>
          </w:p>
        </w:tc>
      </w:tr>
      <w:tr>
        <w:tc>
          <w:tcPr>
            <w:tcW w:type="dxa" w:w="2550"/>
            <w:vAlign w:val="top"/>
          </w:tcPr>
          <w:p>
            <w:pPr>
              <w:spacing w:after="0"/>
            </w:pPr>
            <w:r/>
            <w:r>
              <w:rPr>
                <w:rFonts w:ascii="Liberation Sans" w:hAnsi="Liberation Sans"/>
                <w:b w:val="0"/>
                <w:color w:val="1A1008"/>
                <w:sz w:val="16"/>
              </w:rPr>
              <w:t>GitLab.com</w:t>
            </w:r>
          </w:p>
        </w:tc>
        <w:tc>
          <w:tcPr>
            <w:tcW w:type="dxa" w:w="2550"/>
            <w:vAlign w:val="top"/>
          </w:tcPr>
          <w:p>
            <w:pPr>
              <w:spacing w:after="0"/>
            </w:pPr>
            <w:r/>
            <w:r>
              <w:rPr>
                <w:rFonts w:ascii="Liberation Sans" w:hAnsi="Liberation Sans"/>
                <w:b w:val="0"/>
                <w:color w:val="1A1008"/>
                <w:sz w:val="16"/>
              </w:rPr>
              <w:t>OAuth read_api; vernauwing via toegestane namespaces</w:t>
            </w:r>
          </w:p>
        </w:tc>
        <w:tc>
          <w:tcPr>
            <w:tcW w:type="dxa" w:w="2550"/>
            <w:vAlign w:val="top"/>
          </w:tcPr>
          <w:p>
            <w:pPr>
              <w:spacing w:after="0"/>
            </w:pPr>
            <w:r/>
            <w:r>
              <w:rPr>
                <w:rFonts w:ascii="Liberation Sans" w:hAnsi="Liberation Sans"/>
                <w:b w:val="0"/>
                <w:color w:val="1A1008"/>
                <w:sz w:val="16"/>
              </w:rPr>
              <w:t>Geselecteerde repositorycontext</w:t>
            </w:r>
          </w:p>
        </w:tc>
        <w:tc>
          <w:tcPr>
            <w:tcW w:type="dxa" w:w="2550"/>
            <w:vAlign w:val="top"/>
          </w:tcPr>
          <w:p>
            <w:pPr>
              <w:spacing w:after="0"/>
            </w:pPr>
            <w:r/>
            <w:r>
              <w:rPr>
                <w:rFonts w:ascii="Liberation Sans" w:hAnsi="Liberation Sans"/>
                <w:b w:val="0"/>
                <w:color w:val="1A1008"/>
                <w:sz w:val="16"/>
              </w:rPr>
              <w:t>Grant kan breder zijn dan geselecteerde projecten; applicatiepolicy vernauwt</w:t>
            </w:r>
          </w:p>
        </w:tc>
      </w:tr>
      <w:tr>
        <w:tc>
          <w:tcPr>
            <w:tcW w:type="dxa" w:w="2550"/>
            <w:vAlign w:val="top"/>
            <w:shd w:fill="FBF8F2"/>
          </w:tcPr>
          <w:p>
            <w:pPr>
              <w:spacing w:after="0"/>
            </w:pPr>
            <w:r/>
            <w:r>
              <w:rPr>
                <w:rFonts w:ascii="Liberation Sans" w:hAnsi="Liberation Sans"/>
                <w:b w:val="0"/>
                <w:color w:val="1A1008"/>
                <w:sz w:val="16"/>
              </w:rPr>
              <w:t>SharePoint</w:t>
            </w:r>
          </w:p>
        </w:tc>
        <w:tc>
          <w:tcPr>
            <w:tcW w:type="dxa" w:w="2550"/>
            <w:vAlign w:val="top"/>
            <w:shd w:fill="FBF8F2"/>
          </w:tcPr>
          <w:p>
            <w:pPr>
              <w:spacing w:after="0"/>
            </w:pPr>
            <w:r/>
            <w:r>
              <w:rPr>
                <w:rFonts w:ascii="Liberation Sans" w:hAnsi="Liberation Sans"/>
                <w:b w:val="0"/>
                <w:color w:val="1A1008"/>
                <w:sz w:val="16"/>
              </w:rPr>
              <w:t>Via Microsoft/bedrijfskennisconfiguratie</w:t>
            </w:r>
          </w:p>
        </w:tc>
        <w:tc>
          <w:tcPr>
            <w:tcW w:type="dxa" w:w="2550"/>
            <w:vAlign w:val="top"/>
            <w:shd w:fill="FBF8F2"/>
          </w:tcPr>
          <w:p>
            <w:pPr>
              <w:spacing w:after="0"/>
            </w:pPr>
            <w:r/>
            <w:r>
              <w:rPr>
                <w:rFonts w:ascii="Liberation Sans" w:hAnsi="Liberation Sans"/>
                <w:b w:val="0"/>
                <w:color w:val="1A1008"/>
                <w:sz w:val="16"/>
              </w:rPr>
              <w:t>Door beheerder gesynchroniseerde bedrijfskennis</w:t>
            </w:r>
          </w:p>
        </w:tc>
        <w:tc>
          <w:tcPr>
            <w:tcW w:type="dxa" w:w="2550"/>
            <w:vAlign w:val="top"/>
            <w:shd w:fill="FBF8F2"/>
          </w:tcPr>
          <w:p>
            <w:pPr>
              <w:spacing w:after="0"/>
            </w:pPr>
            <w:r/>
            <w:r>
              <w:rPr>
                <w:rFonts w:ascii="Liberation Sans" w:hAnsi="Liberation Sans"/>
                <w:b w:val="0"/>
                <w:color w:val="1A1008"/>
                <w:sz w:val="16"/>
              </w:rPr>
              <w:t>Rechten/scope moeten tenant-specifiek worden beoordeeld</w:t>
            </w:r>
          </w:p>
        </w:tc>
      </w:tr>
      <w:tr>
        <w:tc>
          <w:tcPr>
            <w:tcW w:type="dxa" w:w="2550"/>
            <w:vAlign w:val="top"/>
          </w:tcPr>
          <w:p>
            <w:pPr>
              <w:spacing w:after="0"/>
            </w:pPr>
            <w:r/>
            <w:r>
              <w:rPr>
                <w:rFonts w:ascii="Liberation Sans" w:hAnsi="Liberation Sans"/>
                <w:b w:val="0"/>
                <w:color w:val="1A1008"/>
                <w:sz w:val="16"/>
              </w:rPr>
              <w:t>Microsoft Teams</w:t>
            </w:r>
          </w:p>
        </w:tc>
        <w:tc>
          <w:tcPr>
            <w:tcW w:type="dxa" w:w="2550"/>
            <w:vAlign w:val="top"/>
          </w:tcPr>
          <w:p>
            <w:pPr>
              <w:spacing w:after="0"/>
            </w:pPr>
            <w:r/>
            <w:r>
              <w:rPr>
                <w:rFonts w:ascii="Liberation Sans" w:hAnsi="Liberation Sans"/>
                <w:b w:val="0"/>
                <w:color w:val="1A1008"/>
                <w:sz w:val="16"/>
              </w:rPr>
              <w:t>Kalenderpolling; transcript/attendance/chat op expliciete verwerking</w:t>
            </w:r>
          </w:p>
        </w:tc>
        <w:tc>
          <w:tcPr>
            <w:tcW w:type="dxa" w:w="2550"/>
            <w:vAlign w:val="top"/>
          </w:tcPr>
          <w:p>
            <w:pPr>
              <w:spacing w:after="0"/>
            </w:pPr>
            <w:r/>
            <w:r>
              <w:rPr>
                <w:rFonts w:ascii="Liberation Sans" w:hAnsi="Liberation Sans"/>
                <w:b w:val="0"/>
                <w:color w:val="1A1008"/>
                <w:sz w:val="16"/>
              </w:rPr>
              <w:t>Meetingmetadata; transcript; deelnemers; chat indien apart toegestaan</w:t>
            </w:r>
          </w:p>
        </w:tc>
        <w:tc>
          <w:tcPr>
            <w:tcW w:type="dxa" w:w="2550"/>
            <w:vAlign w:val="top"/>
          </w:tcPr>
          <w:p>
            <w:pPr>
              <w:spacing w:after="0"/>
            </w:pPr>
            <w:r/>
            <w:r>
              <w:rPr>
                <w:rFonts w:ascii="Liberation Sans" w:hAnsi="Liberation Sans"/>
                <w:b w:val="0"/>
                <w:color w:val="1A1008"/>
                <w:sz w:val="16"/>
              </w:rPr>
              <w:t>Niet-gebruikers/gasten kunnen in transcript staan; rauwe bronnen 90 dagen</w:t>
            </w:r>
          </w:p>
        </w:tc>
      </w:tr>
      <w:tr>
        <w:tc>
          <w:tcPr>
            <w:tcW w:type="dxa" w:w="2550"/>
            <w:vAlign w:val="top"/>
            <w:shd w:fill="FBF8F2"/>
          </w:tcPr>
          <w:p>
            <w:pPr>
              <w:spacing w:after="0"/>
            </w:pPr>
            <w:r/>
            <w:r>
              <w:rPr>
                <w:rFonts w:ascii="Liberation Sans" w:hAnsi="Liberation Sans"/>
                <w:b w:val="0"/>
                <w:color w:val="1A1008"/>
                <w:sz w:val="16"/>
              </w:rPr>
              <w:t>Salesforce</w:t>
            </w:r>
          </w:p>
        </w:tc>
        <w:tc>
          <w:tcPr>
            <w:tcW w:type="dxa" w:w="2550"/>
            <w:vAlign w:val="top"/>
            <w:shd w:fill="FBF8F2"/>
          </w:tcPr>
          <w:p>
            <w:pPr>
              <w:spacing w:after="0"/>
            </w:pPr>
            <w:r/>
            <w:r>
              <w:rPr>
                <w:rFonts w:ascii="Liberation Sans" w:hAnsi="Liberation Sans"/>
                <w:b w:val="0"/>
                <w:color w:val="1A1008"/>
                <w:sz w:val="16"/>
              </w:rPr>
              <w:t>Per-klant External Client App + per-gebruiker OAuth; live toolcalls</w:t>
            </w:r>
          </w:p>
        </w:tc>
        <w:tc>
          <w:tcPr>
            <w:tcW w:type="dxa" w:w="2550"/>
            <w:vAlign w:val="top"/>
            <w:shd w:fill="FBF8F2"/>
          </w:tcPr>
          <w:p>
            <w:pPr>
              <w:spacing w:after="0"/>
            </w:pPr>
            <w:r/>
            <w:r>
              <w:rPr>
                <w:rFonts w:ascii="Liberation Sans" w:hAnsi="Liberation Sans"/>
                <w:b w:val="0"/>
                <w:color w:val="1A1008"/>
                <w:sz w:val="16"/>
              </w:rPr>
              <w:t>Querytermen en geretourneerde CRM-records in gesprek</w:t>
            </w:r>
          </w:p>
        </w:tc>
        <w:tc>
          <w:tcPr>
            <w:tcW w:type="dxa" w:w="2550"/>
            <w:vAlign w:val="top"/>
            <w:shd w:fill="FBF8F2"/>
          </w:tcPr>
          <w:p>
            <w:pPr>
              <w:spacing w:after="0"/>
            </w:pPr>
            <w:r/>
            <w:r>
              <w:rPr>
                <w:rFonts w:ascii="Liberation Sans" w:hAnsi="Liberation Sans"/>
                <w:b w:val="0"/>
                <w:color w:val="1A1008"/>
                <w:sz w:val="16"/>
              </w:rPr>
              <w:t>Geen centrale Summa Salesforce-credential; autoriteit blijft provider/user permissions</w:t>
            </w:r>
          </w:p>
        </w:tc>
      </w:tr>
    </w:tbl>
    <w:p/>
    <w:p>
      <w:pPr>
        <w:pStyle w:val="Heading1"/>
      </w:pPr>
      <w:r>
        <w:t>5. Datalocatie per kerncategorie</w:t>
      </w:r>
    </w:p>
    <w:tbl>
      <w:tblPr>
        <w:tblStyle w:val="TableGrid"/>
        <w:tblW w:type="auto" w:w="0"/>
        <w:jc w:val="left"/>
        <w:tblLook w:firstColumn="1" w:firstRow="1" w:lastColumn="0" w:lastRow="0" w:noHBand="0" w:noVBand="1" w:val="04A0"/>
      </w:tblPr>
      <w:tblGrid>
        <w:gridCol w:w="3400"/>
        <w:gridCol w:w="3400"/>
        <w:gridCol w:w="3400"/>
      </w:tblGrid>
      <w:tr>
        <w:tc>
          <w:tcPr>
            <w:tcW w:type="dxa" w:w="3400"/>
            <w:shd w:fill="3A5A78"/>
            <w:vAlign w:val="center"/>
          </w:tcPr>
          <w:p>
            <w:pPr>
              <w:spacing w:after="0"/>
            </w:pPr>
            <w:r/>
            <w:r>
              <w:rPr>
                <w:rFonts w:ascii="Liberation Sans" w:hAnsi="Liberation Sans"/>
                <w:b/>
                <w:color w:val="FFFFFF"/>
                <w:sz w:val="16"/>
              </w:rPr>
              <w:t>Categorie</w:t>
            </w:r>
          </w:p>
        </w:tc>
        <w:tc>
          <w:tcPr>
            <w:tcW w:type="dxa" w:w="3400"/>
            <w:shd w:fill="3A5A78"/>
            <w:vAlign w:val="center"/>
          </w:tcPr>
          <w:p>
            <w:pPr>
              <w:spacing w:after="0"/>
            </w:pPr>
            <w:r/>
            <w:r>
              <w:rPr>
                <w:rFonts w:ascii="Liberation Sans" w:hAnsi="Liberation Sans"/>
                <w:b/>
                <w:color w:val="FFFFFF"/>
                <w:sz w:val="16"/>
              </w:rPr>
              <w:t>Primaire locatie</w:t>
            </w:r>
          </w:p>
        </w:tc>
        <w:tc>
          <w:tcPr>
            <w:tcW w:type="dxa" w:w="3400"/>
            <w:shd w:fill="3A5A78"/>
            <w:vAlign w:val="center"/>
          </w:tcPr>
          <w:p>
            <w:pPr>
              <w:spacing w:after="0"/>
            </w:pPr>
            <w:r/>
            <w:r>
              <w:rPr>
                <w:rFonts w:ascii="Liberation Sans" w:hAnsi="Liberation Sans"/>
                <w:b/>
                <w:color w:val="FFFFFF"/>
                <w:sz w:val="16"/>
              </w:rPr>
              <w:t>Mogelijke uitzondering</w:t>
            </w:r>
          </w:p>
        </w:tc>
      </w:tr>
      <w:tr>
        <w:tc>
          <w:tcPr>
            <w:tcW w:type="dxa" w:w="3400"/>
            <w:vAlign w:val="top"/>
          </w:tcPr>
          <w:p>
            <w:pPr>
              <w:spacing w:after="0"/>
            </w:pPr>
            <w:r/>
            <w:r>
              <w:rPr>
                <w:rFonts w:ascii="Liberation Sans" w:hAnsi="Liberation Sans"/>
                <w:b w:val="0"/>
                <w:color w:val="1A1008"/>
                <w:sz w:val="16"/>
              </w:rPr>
              <w:t>Accounts, chats, projects, knowledge, appdatabase</w:t>
            </w:r>
          </w:p>
        </w:tc>
        <w:tc>
          <w:tcPr>
            <w:tcW w:type="dxa" w:w="3400"/>
            <w:vAlign w:val="top"/>
          </w:tcPr>
          <w:p>
            <w:pPr>
              <w:spacing w:after="0"/>
            </w:pPr>
            <w:r/>
            <w:r>
              <w:rPr>
                <w:rFonts w:ascii="Liberation Sans" w:hAnsi="Liberation Sans"/>
                <w:b w:val="0"/>
                <w:color w:val="1A1008"/>
                <w:sz w:val="16"/>
              </w:rPr>
              <w:t>Nederland / Leafcloud</w:t>
            </w:r>
          </w:p>
        </w:tc>
        <w:tc>
          <w:tcPr>
            <w:tcW w:type="dxa" w:w="3400"/>
            <w:vAlign w:val="top"/>
          </w:tcPr>
          <w:p>
            <w:pPr>
              <w:spacing w:after="0"/>
            </w:pPr>
            <w:r/>
            <w:r>
              <w:rPr>
                <w:rFonts w:ascii="Liberation Sans" w:hAnsi="Liberation Sans"/>
                <w:b w:val="0"/>
                <w:color w:val="1A1008"/>
                <w:sz w:val="16"/>
              </w:rPr>
              <w:t>Connector/sourceprovider voor import; supportincident indien wettelijk noodzakelijk</w:t>
            </w:r>
          </w:p>
        </w:tc>
      </w:tr>
      <w:tr>
        <w:tc>
          <w:tcPr>
            <w:tcW w:type="dxa" w:w="3400"/>
            <w:vAlign w:val="top"/>
            <w:shd w:fill="FBF8F2"/>
          </w:tcPr>
          <w:p>
            <w:pPr>
              <w:spacing w:after="0"/>
            </w:pPr>
            <w:r/>
            <w:r>
              <w:rPr>
                <w:rFonts w:ascii="Liberation Sans" w:hAnsi="Liberation Sans"/>
                <w:b w:val="0"/>
                <w:color w:val="1A1008"/>
                <w:sz w:val="16"/>
              </w:rPr>
              <w:t>Bestanden en gegenereerde artefacten</w:t>
            </w:r>
          </w:p>
        </w:tc>
        <w:tc>
          <w:tcPr>
            <w:tcW w:type="dxa" w:w="3400"/>
            <w:vAlign w:val="top"/>
            <w:shd w:fill="FBF8F2"/>
          </w:tcPr>
          <w:p>
            <w:pPr>
              <w:spacing w:after="0"/>
            </w:pPr>
            <w:r/>
            <w:r>
              <w:rPr>
                <w:rFonts w:ascii="Liberation Sans" w:hAnsi="Liberation Sans"/>
                <w:b w:val="0"/>
                <w:color w:val="1A1008"/>
                <w:sz w:val="16"/>
              </w:rPr>
              <w:t>Nederland / private objectopslag</w:t>
            </w:r>
          </w:p>
        </w:tc>
        <w:tc>
          <w:tcPr>
            <w:tcW w:type="dxa" w:w="3400"/>
            <w:vAlign w:val="top"/>
            <w:shd w:fill="FBF8F2"/>
          </w:tcPr>
          <w:p>
            <w:pPr>
              <w:spacing w:after="0"/>
            </w:pPr>
            <w:r/>
            <w:r>
              <w:rPr>
                <w:rFonts w:ascii="Liberation Sans" w:hAnsi="Liberation Sans"/>
                <w:b w:val="0"/>
                <w:color w:val="1A1008"/>
                <w:sz w:val="16"/>
              </w:rPr>
              <w:t>Bronprovider tijdens import; exportbestemming op gebruikersactie</w:t>
            </w:r>
          </w:p>
        </w:tc>
      </w:tr>
      <w:tr>
        <w:tc>
          <w:tcPr>
            <w:tcW w:type="dxa" w:w="3400"/>
            <w:vAlign w:val="top"/>
          </w:tcPr>
          <w:p>
            <w:pPr>
              <w:spacing w:after="0"/>
            </w:pPr>
            <w:r/>
            <w:r>
              <w:rPr>
                <w:rFonts w:ascii="Liberation Sans" w:hAnsi="Liberation Sans"/>
                <w:b w:val="0"/>
                <w:color w:val="1A1008"/>
                <w:sz w:val="16"/>
              </w:rPr>
              <w:t>AI-inferencecontext</w:t>
            </w:r>
          </w:p>
        </w:tc>
        <w:tc>
          <w:tcPr>
            <w:tcW w:type="dxa" w:w="3400"/>
            <w:vAlign w:val="top"/>
          </w:tcPr>
          <w:p>
            <w:pPr>
              <w:spacing w:after="0"/>
            </w:pPr>
            <w:r/>
            <w:r>
              <w:rPr>
                <w:rFonts w:ascii="Liberation Sans" w:hAnsi="Liberation Sans"/>
                <w:b w:val="0"/>
                <w:color w:val="1A1008"/>
                <w:sz w:val="16"/>
              </w:rPr>
              <w:t>Nederland / Leafcloud RTX 6000-serie</w:t>
            </w:r>
          </w:p>
        </w:tc>
        <w:tc>
          <w:tcPr>
            <w:tcW w:type="dxa" w:w="3400"/>
            <w:vAlign w:val="top"/>
          </w:tcPr>
          <w:p>
            <w:pPr>
              <w:spacing w:after="0"/>
            </w:pPr>
            <w:r/>
            <w:r>
              <w:rPr>
                <w:rFonts w:ascii="Liberation Sans" w:hAnsi="Liberation Sans"/>
                <w:b w:val="0"/>
                <w:color w:val="1A1008"/>
                <w:sz w:val="16"/>
              </w:rPr>
              <w:t>Geen externe commerciële model-API in de kernroute; alleen klantgekozen tools/andere expliciete diensten kunnen afzonderlijke gegevensstromen creëren</w:t>
            </w:r>
          </w:p>
        </w:tc>
      </w:tr>
      <w:tr>
        <w:tc>
          <w:tcPr>
            <w:tcW w:type="dxa" w:w="3400"/>
            <w:vAlign w:val="top"/>
            <w:shd w:fill="FBF8F2"/>
          </w:tcPr>
          <w:p>
            <w:pPr>
              <w:spacing w:after="0"/>
            </w:pPr>
            <w:r/>
            <w:r>
              <w:rPr>
                <w:rFonts w:ascii="Liberation Sans" w:hAnsi="Liberation Sans"/>
                <w:b w:val="0"/>
                <w:color w:val="1A1008"/>
                <w:sz w:val="16"/>
              </w:rPr>
              <w:t>Transactionele e-mail</w:t>
            </w:r>
          </w:p>
        </w:tc>
        <w:tc>
          <w:tcPr>
            <w:tcW w:type="dxa" w:w="3400"/>
            <w:vAlign w:val="top"/>
            <w:shd w:fill="FBF8F2"/>
          </w:tcPr>
          <w:p>
            <w:pPr>
              <w:spacing w:after="0"/>
            </w:pPr>
            <w:r/>
            <w:r>
              <w:rPr>
                <w:rFonts w:ascii="Liberation Sans" w:hAnsi="Liberation Sans"/>
                <w:b w:val="0"/>
                <w:color w:val="1A1008"/>
                <w:sz w:val="16"/>
              </w:rPr>
              <w:t>VS via Resend</w:t>
            </w:r>
          </w:p>
        </w:tc>
        <w:tc>
          <w:tcPr>
            <w:tcW w:type="dxa" w:w="3400"/>
            <w:vAlign w:val="top"/>
            <w:shd w:fill="FBF8F2"/>
          </w:tcPr>
          <w:p>
            <w:pPr>
              <w:spacing w:after="0"/>
            </w:pPr>
            <w:r/>
            <w:r>
              <w:rPr>
                <w:rFonts w:ascii="Liberation Sans" w:hAnsi="Liberation Sans"/>
                <w:b w:val="0"/>
                <w:color w:val="1A1008"/>
                <w:sz w:val="16"/>
              </w:rPr>
              <w:t>Provider-subprocessors volgens DPA</w:t>
            </w:r>
          </w:p>
        </w:tc>
      </w:tr>
      <w:tr>
        <w:tc>
          <w:tcPr>
            <w:tcW w:type="dxa" w:w="3400"/>
            <w:vAlign w:val="top"/>
          </w:tcPr>
          <w:p>
            <w:pPr>
              <w:spacing w:after="0"/>
            </w:pPr>
            <w:r/>
            <w:r>
              <w:rPr>
                <w:rFonts w:ascii="Liberation Sans" w:hAnsi="Liberation Sans"/>
                <w:b w:val="0"/>
                <w:color w:val="1A1008"/>
                <w:sz w:val="16"/>
              </w:rPr>
              <w:t>Betaling</w:t>
            </w:r>
          </w:p>
        </w:tc>
        <w:tc>
          <w:tcPr>
            <w:tcW w:type="dxa" w:w="3400"/>
            <w:vAlign w:val="top"/>
          </w:tcPr>
          <w:p>
            <w:pPr>
              <w:spacing w:after="0"/>
            </w:pPr>
            <w:r/>
            <w:r>
              <w:rPr>
                <w:rFonts w:ascii="Liberation Sans" w:hAnsi="Liberation Sans"/>
                <w:b w:val="0"/>
                <w:color w:val="1A1008"/>
                <w:sz w:val="16"/>
              </w:rPr>
              <w:t>Stripe infrastructuur</w:t>
            </w:r>
          </w:p>
        </w:tc>
        <w:tc>
          <w:tcPr>
            <w:tcW w:type="dxa" w:w="3400"/>
            <w:vAlign w:val="top"/>
          </w:tcPr>
          <w:p>
            <w:pPr>
              <w:spacing w:after="0"/>
            </w:pPr>
            <w:r/>
            <w:r>
              <w:rPr>
                <w:rFonts w:ascii="Liberation Sans" w:hAnsi="Liberation Sans"/>
                <w:b w:val="0"/>
                <w:color w:val="1A1008"/>
                <w:sz w:val="16"/>
              </w:rPr>
              <w:t>Wereldwijde verwerking volgens Stripe contractuele rol</w:t>
            </w:r>
          </w:p>
        </w:tc>
      </w:tr>
      <w:tr>
        <w:tc>
          <w:tcPr>
            <w:tcW w:type="dxa" w:w="3400"/>
            <w:vAlign w:val="top"/>
            <w:shd w:fill="FBF8F2"/>
          </w:tcPr>
          <w:p>
            <w:pPr>
              <w:spacing w:after="0"/>
            </w:pPr>
            <w:r/>
            <w:r>
              <w:rPr>
                <w:rFonts w:ascii="Liberation Sans" w:hAnsi="Liberation Sans"/>
                <w:b w:val="0"/>
                <w:color w:val="1A1008"/>
                <w:sz w:val="16"/>
              </w:rPr>
              <w:t>Websearch</w:t>
            </w:r>
          </w:p>
        </w:tc>
        <w:tc>
          <w:tcPr>
            <w:tcW w:type="dxa" w:w="3400"/>
            <w:vAlign w:val="top"/>
            <w:shd w:fill="FBF8F2"/>
          </w:tcPr>
          <w:p>
            <w:pPr>
              <w:spacing w:after="0"/>
            </w:pPr>
            <w:r/>
            <w:r>
              <w:rPr>
                <w:rFonts w:ascii="Liberation Sans" w:hAnsi="Liberation Sans"/>
                <w:b w:val="0"/>
                <w:color w:val="1A1008"/>
                <w:sz w:val="16"/>
              </w:rPr>
              <w:t>Frankrijk/EU via Linkup voor query/search; websites wereldwijd bij openen</w:t>
            </w:r>
          </w:p>
        </w:tc>
        <w:tc>
          <w:tcPr>
            <w:tcW w:type="dxa" w:w="3400"/>
            <w:vAlign w:val="top"/>
            <w:shd w:fill="FBF8F2"/>
          </w:tcPr>
          <w:p>
            <w:pPr>
              <w:spacing w:after="0"/>
            </w:pPr>
            <w:r/>
            <w:r>
              <w:rPr>
                <w:rFonts w:ascii="Liberation Sans" w:hAnsi="Liberation Sans"/>
                <w:b w:val="0"/>
                <w:color w:val="1A1008"/>
                <w:sz w:val="16"/>
              </w:rPr>
              <w:t>Geopende website ontvangt normale webrequestmetadata via broker</w:t>
            </w:r>
          </w:p>
        </w:tc>
      </w:tr>
    </w:tbl>
    <w:p/>
    <w:p>
      <w:pPr>
        <w:pStyle w:val="Heading1"/>
      </w:pPr>
      <w:r>
        <w:t>6. Subprocessorwijzigingen</w:t>
      </w:r>
    </w:p>
    <w:p>
      <w:pPr>
        <w:spacing w:after="100"/>
      </w:pPr>
      <w:r>
        <w:t>Nieuwe door Summa geselecteerde subprocessors die Klantpersoonsgegevens verwerken worden pas voor zakelijke productie gebruikt nadat privacy/security due diligence is afgerond en contractuele verwerking/doorgifte is ingericht. Zakelijke klanten ontvangen in beginsel minimaal 30 dagen vooraf bericht van materiële wijzigingen volgens de verwerkersovereenkomst.</w:t>
      </w:r>
    </w:p>
    <w:p>
      <w:pPr>
        <w:pStyle w:val="Heading1"/>
      </w:pPr>
      <w:r>
        <w:t>7. Gemeentelijk soevereiniteitsprofiel</w:t>
      </w:r>
    </w:p>
    <w:p>
      <w:pPr>
        <w:spacing w:after="100"/>
      </w:pPr>
      <w:r>
        <w:t>Een gemeente kan schriftelijk een strenger profiel verlangen. De kernapplicatie, opslag, identiteit en AI-inference kunnen in het beschreven productieprofiel in Nederland op Leafcloud worden uitgevoerd. Voor een strikt EER-only totaalprofiel moeten daarnaast Resend en iedere andere niet-EER verwerking uit het betreffende pad worden vervangen, uitgeschakeld of contractueel uitgesloten. Klantgekozen connectoren blijven onder de rechtsmacht en gegevenslocaties van de betreffende bronprovider vallen. Deze voorwaarden worden als technische deploymentrestrictie vastgelegd en niet door marketingtekst verondersteld.</w:t>
      </w:r>
    </w:p>
    <w:sectPr w:rsidR="00FC693F" w:rsidRPr="0006063C" w:rsidSect="00034616">
      <w:headerReference w:type="default" r:id="rId9"/>
      <w:footerReference w:type="default" r:id="rId10"/>
      <w:pgSz w:w="12240" w:h="15840"/>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color w:val="6E6257"/>
        <w:sz w:val="14"/>
      </w:rPr>
      <w:t xml:space="preserve">Subverwerkers-, integratie- en datalocatieregister  •  v1.0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3A5A78"/>
        <w:sz w:val="15"/>
      </w:rPr>
      <w:t>SUMMA  /  COMPLIANCE &amp; TRUST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ans" w:hAnsi="Liberation Sans"/>
      <w:color w:val="1A1008"/>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Liberation Sans" w:hAnsi="Liberation Sans"/>
      <w:b/>
      <w:bCs/>
      <w:color w:val="3A5A78"/>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ans" w:hAnsi="Liberation Sans"/>
      <w:b/>
      <w:bCs/>
      <w:color w:val="C8963E"/>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Liberation Sans" w:hAnsi="Liberation Sans"/>
      <w:b/>
      <w:bCs/>
      <w:color w:val="3A5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Liberation Sans" w:hAnsi="Liberation Sans"/>
      <w:b/>
      <w:color w:val="1A100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dc:creator>
  <cp:keywords/>
  <dc:description/>
  <cp:lastModifiedBy>Summa</cp:lastModifiedBy>
  <cp:revision>1</cp:revision>
  <dcterms:created xsi:type="dcterms:W3CDTF">2013-12-23T23:15:00Z</dcterms:created>
  <dcterms:modified xsi:type="dcterms:W3CDTF">2013-12-23T23:15:00Z</dcterms:modified>
  <cp:category/>
</cp:coreProperties>
</file>