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Security-, trust- en complianceverklaring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5100"/>
            <w:shd w:fill="F7F2E8"/>
          </w:tcPr>
          <w:p>
            <w:pPr>
              <w:spacing w:after="0"/>
            </w:pPr>
            <w:r/>
            <w:r>
              <w:rPr>
                <w:rFonts w:ascii="Liberation Sans" w:hAnsi="Liberation Sans"/>
                <w:b/>
                <w:color w:val="3A5A78"/>
                <w:sz w:val="17"/>
              </w:rPr>
              <w:t>Status</w:t>
            </w:r>
          </w:p>
        </w:tc>
        <w:tc>
          <w:tcPr>
            <w:tcW w:type="dxa" w:w="5100"/>
          </w:tcPr>
          <w:p>
            <w:pPr>
              <w:spacing w:after="0"/>
            </w:pPr>
            <w:r/>
            <w:r>
              <w:rPr>
                <w:rFonts w:ascii="Liberation Sans" w:hAnsi="Liberation Sans"/>
                <w:b w:val="0"/>
                <w:color w:val="1A1008"/>
                <w:sz w:val="17"/>
              </w:rPr>
              <w:t>Geldend leveranciersdocument</w:t>
            </w:r>
          </w:p>
        </w:tc>
      </w:tr>
      <w:tr>
        <w:tc>
          <w:tcPr>
            <w:tcW w:type="dxa" w:w="5100"/>
            <w:shd w:fill="F7F2E8"/>
          </w:tcPr>
          <w:p>
            <w:pPr>
              <w:spacing w:after="0"/>
            </w:pPr>
            <w:r/>
            <w:r>
              <w:rPr>
                <w:rFonts w:ascii="Liberation Sans" w:hAnsi="Liberation Sans"/>
                <w:b/>
                <w:color w:val="3A5A78"/>
                <w:sz w:val="17"/>
              </w:rPr>
              <w:t>Versie / uitgiftedatum</w:t>
            </w:r>
          </w:p>
        </w:tc>
        <w:tc>
          <w:tcPr>
            <w:tcW w:type="dxa" w:w="5100"/>
          </w:tcPr>
          <w:p>
            <w:pPr>
              <w:spacing w:after="0"/>
            </w:pPr>
            <w:r/>
            <w:r>
              <w:rPr>
                <w:rFonts w:ascii="Liberation Sans" w:hAnsi="Liberation Sans"/>
                <w:b w:val="0"/>
                <w:color w:val="1A1008"/>
                <w:sz w:val="17"/>
              </w:rPr>
              <w:t>1.0 / 28 augustus 2026</w:t>
            </w:r>
          </w:p>
        </w:tc>
      </w:tr>
      <w:tr>
        <w:tc>
          <w:tcPr>
            <w:tcW w:type="dxa" w:w="5100"/>
            <w:shd w:fill="F7F2E8"/>
          </w:tcPr>
          <w:p>
            <w:pPr>
              <w:spacing w:after="0"/>
            </w:pPr>
            <w:r/>
            <w:r>
              <w:rPr>
                <w:rFonts w:ascii="Liberation Sans" w:hAnsi="Liberation Sans"/>
                <w:b/>
                <w:color w:val="3A5A78"/>
                <w:sz w:val="17"/>
              </w:rPr>
              <w:t>Documenteigenaar</w:t>
            </w:r>
          </w:p>
        </w:tc>
        <w:tc>
          <w:tcPr>
            <w:tcW w:type="dxa" w:w="5100"/>
          </w:tcPr>
          <w:p>
            <w:pPr>
              <w:spacing w:after="0"/>
            </w:pPr>
            <w:r/>
            <w:r>
              <w:rPr>
                <w:rFonts w:ascii="Liberation Sans" w:hAnsi="Liberation Sans"/>
                <w:b w:val="0"/>
                <w:color w:val="1A1008"/>
                <w:sz w:val="17"/>
              </w:rPr>
              <w:t>Schmeitzke, handelend onder de namen Summa en Summa Labs</w:t>
            </w:r>
          </w:p>
        </w:tc>
      </w:tr>
      <w:tr>
        <w:tc>
          <w:tcPr>
            <w:tcW w:type="dxa" w:w="5100"/>
            <w:shd w:fill="F7F2E8"/>
          </w:tcPr>
          <w:p>
            <w:pPr>
              <w:spacing w:after="0"/>
            </w:pPr>
            <w:r/>
            <w:r>
              <w:rPr>
                <w:rFonts w:ascii="Liberation Sans" w:hAnsi="Liberation Sans"/>
                <w:b/>
                <w:color w:val="3A5A78"/>
                <w:sz w:val="17"/>
              </w:rPr>
              <w:t>Classificatie</w:t>
            </w:r>
          </w:p>
        </w:tc>
        <w:tc>
          <w:tcPr>
            <w:tcW w:type="dxa" w:w="5100"/>
          </w:tcPr>
          <w:p>
            <w:pPr>
              <w:spacing w:after="0"/>
            </w:pPr>
            <w:r/>
            <w:r>
              <w:rPr>
                <w:rFonts w:ascii="Liberation Sans" w:hAnsi="Liberation Sans"/>
                <w:b w:val="0"/>
                <w:color w:val="1A1008"/>
                <w:sz w:val="17"/>
              </w:rPr>
              <w:t>Publiek</w:t>
            </w:r>
          </w:p>
        </w:tc>
      </w:tr>
    </w:tbl>
    <w:p/>
    <w:p>
      <w:pPr>
        <w:pStyle w:val="Heading1"/>
      </w:pPr>
      <w:r>
        <w:t>1. Doel</w:t>
      </w:r>
    </w:p>
    <w:p>
      <w:pPr>
        <w:spacing w:after="100"/>
      </w:pPr>
      <w:r>
        <w:t>Deze verklaring geeft klanten één leesbare samenvatting van wat Summa aantoonbaar heeft ingericht en wat nog niet als externe assurance of certificering mag worden voorgesteld.</w:t>
      </w:r>
    </w:p>
    <w:p>
      <w:pPr>
        <w:pStyle w:val="Heading1"/>
      </w:pPr>
      <w:r>
        <w:t>2. Aantoonbaar ingericht</w:t>
      </w:r>
    </w:p>
    <w:p>
      <w:pPr>
        <w:pStyle w:val="ListBullet"/>
        <w:spacing w:after="40"/>
        <w:ind w:left="227"/>
      </w:pPr>
      <w:r>
        <w:t>Nederlandse kernapplicatie, database, objectstorage en self-hosted identity op Leafcloud.</w:t>
      </w:r>
    </w:p>
    <w:p>
      <w:pPr>
        <w:pStyle w:val="ListBullet"/>
        <w:spacing w:after="40"/>
        <w:ind w:left="227"/>
      </w:pPr>
      <w:r>
        <w:t>Actieve zelfgehoste AI-inference op Leafcloud in Nederland, op NVIDIA RTX 6000-serie GPU's via een private, geauthenticeerde interne route.</w:t>
      </w:r>
    </w:p>
    <w:p>
      <w:pPr>
        <w:pStyle w:val="ListBullet"/>
        <w:spacing w:after="40"/>
        <w:ind w:left="227"/>
      </w:pPr>
      <w:r>
        <w:t>Tenantautorisatie met backendpolicy en PostgreSQL RLS.</w:t>
      </w:r>
    </w:p>
    <w:p>
      <w:pPr>
        <w:pStyle w:val="ListBullet"/>
        <w:spacing w:after="40"/>
        <w:ind w:left="227"/>
      </w:pPr>
      <w:r>
        <w:t>Encryptie in transit en tenant-scoped veldversleuteling voor relevante gevoelige velden.</w:t>
      </w:r>
    </w:p>
    <w:p>
      <w:pPr>
        <w:pStyle w:val="ListBullet"/>
        <w:spacing w:after="40"/>
        <w:ind w:left="227"/>
      </w:pPr>
      <w:r>
        <w:t>Private interne model-/data-/toolservices en Kubernetes network policies.</w:t>
      </w:r>
    </w:p>
    <w:p>
      <w:pPr>
        <w:pStyle w:val="ListBullet"/>
        <w:spacing w:after="40"/>
        <w:ind w:left="227"/>
      </w:pPr>
      <w:r>
        <w:t>Malwarecontrole en begrensde documentextractie.</w:t>
      </w:r>
    </w:p>
    <w:p>
      <w:pPr>
        <w:pStyle w:val="ListBullet"/>
        <w:spacing w:after="40"/>
        <w:ind w:left="227"/>
      </w:pPr>
      <w:r>
        <w:t>Geïsoleerde Python sandbox zonder netwerk/secrets/persistent volume/Kubernetes token.</w:t>
      </w:r>
    </w:p>
    <w:p>
      <w:pPr>
        <w:pStyle w:val="ListBullet"/>
        <w:spacing w:after="40"/>
        <w:ind w:left="227"/>
      </w:pPr>
      <w:r>
        <w:t>CI: tests, lint/typecheck, migration checks, Gitleaks, dependency audits, Trivy, CycloneDX SBOM backend/frontend, OSV second-source CVE gate.</w:t>
      </w:r>
    </w:p>
    <w:p>
      <w:pPr>
        <w:pStyle w:val="ListBullet"/>
        <w:spacing w:after="40"/>
        <w:ind w:left="227"/>
      </w:pPr>
      <w:r>
        <w:t>Durable account erasure met componentretries.</w:t>
      </w:r>
    </w:p>
    <w:p>
      <w:pPr>
        <w:pStyle w:val="ListBullet"/>
        <w:spacing w:after="40"/>
        <w:ind w:left="227"/>
      </w:pPr>
      <w:r>
        <w:t>Gescheiden privacy/securitycontactpunten.</w:t>
      </w:r>
    </w:p>
    <w:p>
      <w:pPr>
        <w:pStyle w:val="ListBullet"/>
        <w:spacing w:after="40"/>
        <w:ind w:left="227"/>
      </w:pPr>
      <w:r>
        <w:t>AI-interactiedisclosure in de productervaring en AI-generated metadata in dataexports.</w:t>
      </w:r>
    </w:p>
    <w:p>
      <w:pPr>
        <w:pStyle w:val="Heading1"/>
      </w:pPr>
      <w:r>
        <w:t>3. Geen geclaimde certificeringen</w:t>
      </w:r>
    </w:p>
    <w:p>
      <w:pPr>
        <w:spacing w:after="100"/>
      </w:pPr>
      <w:r>
        <w:t>Summa is op uitgiftedatum niet door dit document gecertificeerd als ISO 27001-, SOC 2-, BIO2-, NEN-, ENSIA- of GIBIT-compliant. Leverancierscertificaten, bijvoorbeeld van infrastructuurproviders, zijn bewijs over die provider en niet automatisch over Summa.</w:t>
      </w:r>
    </w:p>
    <w:p>
      <w:pPr>
        <w:pStyle w:val="Heading1"/>
      </w:pPr>
      <w:r>
        <w:t>4. Huidige beperkingen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fill="F8EDE8"/>
          </w:tcPr>
          <w:p>
            <w:pPr>
              <w:spacing w:after="0"/>
            </w:pPr>
            <w:r/>
            <w:r>
              <w:rPr>
                <w:rFonts w:ascii="Liberation Sans" w:hAnsi="Liberation Sans"/>
                <w:b/>
                <w:color w:val="9B2C2C"/>
                <w:sz w:val="18"/>
              </w:rPr>
              <w:t>De live deployment heeft geen off-cluster backup en geen gevalideerde productie-RPO/RTO. Platformbrede MFA-enforcement staat uit; alleen het eigenaaroppervlak vereist MFA. Audit-digest signing staat uit. Een volledige onafhankelijke penetratietest/TPM/ISO-assurance is niet als Summa-bewijs beschikbaar in dit pakket.</w:t>
            </w:r>
          </w:p>
        </w:tc>
      </w:tr>
    </w:tbl>
    <w:p/>
    <w:p>
      <w:pPr>
        <w:spacing w:after="100"/>
      </w:pPr>
      <w:r>
        <w:t>Daarom wordt gemeentelijke productie met kritieke of niet-vervangbare informatie pas vrijgegeven nadat de releasegate in document 00 is gesloten.</w:t>
      </w:r>
    </w:p>
    <w:p>
      <w:pPr>
        <w:pStyle w:val="Heading1"/>
      </w:pPr>
      <w:r>
        <w:t>5. Privacy- en datasoevereiniteit</w:t>
      </w:r>
    </w:p>
    <w:p>
      <w:pPr>
        <w:spacing w:after="100"/>
      </w:pPr>
      <w:r>
        <w:t>Summa verkoopt klantgesprekken niet en gebruikt zakelijke Klantgegevens niet voor algemene modeltraining zonder afzonderlijke schriftelijke afspraak. Kernopslag en kerninference bevinden zich in Nederland op Leafcloud. Resend/Stripe en klantgekozen connectoren kunnen andere jurisdicties creëren zoals in document 07 beschreven. "Sovereign" betekent daarom controleerbare keuzes, Nederlandse kernverwerking en transparante uitzonderingen, niet een onbeperkte absolute claim.</w:t>
      </w:r>
    </w:p>
    <w:p>
      <w:pPr>
        <w:pStyle w:val="Heading1"/>
      </w:pPr>
      <w:r>
        <w:t>6. Responsible disclosure</w:t>
      </w:r>
    </w:p>
    <w:p>
      <w:pPr>
        <w:spacing w:after="100"/>
      </w:pPr>
      <w:r>
        <w:t>Kwetsbaarheden kunnen vertrouwelijk worden gemeld via security@summalabs.ai. Verstrek voldoende reproduceerbare informatie en vermijd onnodige inzage/wijziging van echte klantdata, social engineering, denial-of-service of publicatie voordat een redelijke hersteltermijn is geboden. Summa bevestigt ontvangst zo snel mogelijk, triageert op ernst en coördineert waar passend herstel/publicatie.</w:t>
      </w:r>
    </w:p>
    <w:p>
      <w:pPr>
        <w:pStyle w:val="Heading1"/>
      </w:pPr>
      <w:r>
        <w:t>7. Beschikbaar bewijs voor due diligence</w:t>
      </w:r>
    </w:p>
    <w:p>
      <w:pPr>
        <w:spacing w:after="100"/>
      </w:pPr>
      <w:r>
        <w:t>Onder redelijke vertrouwelijkheid kan Summa relevante delen beschikbaar stellen van TOM's, architectuur/dataflows, privacydossier, AI-dossier, GIBIT/BIO2-mappings, CI/securityscanbeleid, SBOM, incident-/continuïteitsbeleid, subprocessorregister en herstel-/exitprocedures. Secrets, exploiteerbare details, persoonsgegevens van andere klanten en onevenredig gevoelige infrastructuurinformatie worden niet verstrekt.</w:t>
      </w:r>
    </w:p>
    <w:p>
      <w:pPr>
        <w:pStyle w:val="Heading1"/>
      </w:pPr>
      <w:r>
        <w:t>8. Onafhankelijke assurance-roadmap</w:t>
      </w:r>
    </w:p>
    <w:p>
      <w:pPr>
        <w:spacing w:after="100"/>
      </w:pPr>
      <w:r>
        <w:t>Voor reguliere gemeentelijke SaaS-productie is de doelroute een jaarlijks vernieuwde onafhankelijke assurance die voldoet aan GIBIT 2025 artikel 38, bijvoorbeeld een passend ISO-certificaat, TPM of toegelaten equivalent van een onafhankelijke deskundige. Dit document is nadrukkelijk geen vervanging van die externe verklaring.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64" w:right="1020" w:bottom="964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Liberation Sans" w:hAnsi="Liberation Sans"/>
        <w:color w:val="6E6257"/>
        <w:sz w:val="14"/>
      </w:rPr>
      <w:t xml:space="preserve">Security-, trust- en complianceverklaring  •  v1.0  • 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right"/>
    </w:pPr>
    <w:r>
      <w:rPr>
        <w:b/>
        <w:color w:val="3A5A78"/>
        <w:sz w:val="15"/>
      </w:rPr>
      <w:t>SUMMA  /  COMPLIANCE &amp; TRUST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Liberation Sans" w:hAnsi="Liberation Sans"/>
      <w:color w:val="1A1008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Liberation Sans" w:hAnsi="Liberation Sans"/>
      <w:b/>
      <w:bCs/>
      <w:color w:val="3A5A78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Liberation Sans" w:hAnsi="Liberation Sans"/>
      <w:b/>
      <w:bCs/>
      <w:color w:val="C8963E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Liberation Sans" w:hAnsi="Liberation Sans"/>
      <w:b/>
      <w:bCs/>
      <w:color w:val="3A5A78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 w:before="160"/>
      <w:contextualSpacing/>
    </w:pPr>
    <w:rPr>
      <w:rFonts w:asciiTheme="majorHAnsi" w:eastAsiaTheme="majorEastAsia" w:hAnsiTheme="majorHAnsi" w:cstheme="majorBidi" w:ascii="Liberation Sans" w:hAnsi="Liberation Sans"/>
      <w:b/>
      <w:color w:val="1A1008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Summa</dc:creator>
  <cp:keywords/>
  <dc:description/>
  <cp:lastModifiedBy>Summa</cp:lastModifiedBy>
  <cp:revision>1</cp:revision>
  <dcterms:created xsi:type="dcterms:W3CDTF">2013-12-23T23:15:00Z</dcterms:created>
  <dcterms:modified xsi:type="dcterms:W3CDTF">2013-12-23T23:15:00Z</dcterms:modified>
  <cp:category/>
</cp:coreProperties>
</file>