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jc w:val="left"/>
      </w:pPr>
      <w:r>
        <w:t>Privacyverklaring</w:t>
      </w:r>
    </w:p>
    <w:tbl>
      <w:tblPr>
        <w:tblStyle w:val="TableGrid"/>
        <w:tblW w:type="auto" w:w="0"/>
        <w:jc w:val="left"/>
        <w:tblLook w:firstColumn="1" w:firstRow="1" w:lastColumn="0" w:lastRow="0" w:noHBand="0" w:noVBand="1" w:val="04A0"/>
      </w:tblPr>
      <w:tblGrid>
        <w:gridCol w:w="5100"/>
        <w:gridCol w:w="5100"/>
      </w:tblGrid>
      <w:tr>
        <w:tc>
          <w:tcPr>
            <w:tcW w:type="dxa" w:w="5100"/>
            <w:shd w:fill="F7F2E8"/>
          </w:tcPr>
          <w:p>
            <w:pPr>
              <w:spacing w:after="0"/>
            </w:pPr>
            <w:r/>
            <w:r>
              <w:rPr>
                <w:rFonts w:ascii="Liberation Sans" w:hAnsi="Liberation Sans"/>
                <w:b/>
                <w:color w:val="3A5A78"/>
                <w:sz w:val="17"/>
              </w:rPr>
              <w:t>Status</w:t>
            </w:r>
          </w:p>
        </w:tc>
        <w:tc>
          <w:tcPr>
            <w:tcW w:type="dxa" w:w="5100"/>
          </w:tcPr>
          <w:p>
            <w:pPr>
              <w:spacing w:after="0"/>
            </w:pPr>
            <w:r/>
            <w:r>
              <w:rPr>
                <w:rFonts w:ascii="Liberation Sans" w:hAnsi="Liberation Sans"/>
                <w:b w:val="0"/>
                <w:color w:val="1A1008"/>
                <w:sz w:val="17"/>
              </w:rPr>
              <w:t>Geldend leveranciersdocument</w:t>
            </w:r>
          </w:p>
        </w:tc>
      </w:tr>
      <w:tr>
        <w:tc>
          <w:tcPr>
            <w:tcW w:type="dxa" w:w="5100"/>
            <w:shd w:fill="F7F2E8"/>
          </w:tcPr>
          <w:p>
            <w:pPr>
              <w:spacing w:after="0"/>
            </w:pPr>
            <w:r/>
            <w:r>
              <w:rPr>
                <w:rFonts w:ascii="Liberation Sans" w:hAnsi="Liberation Sans"/>
                <w:b/>
                <w:color w:val="3A5A78"/>
                <w:sz w:val="17"/>
              </w:rPr>
              <w:t>Versie / uitgiftedatum</w:t>
            </w:r>
          </w:p>
        </w:tc>
        <w:tc>
          <w:tcPr>
            <w:tcW w:type="dxa" w:w="5100"/>
          </w:tcPr>
          <w:p>
            <w:pPr>
              <w:spacing w:after="0"/>
            </w:pPr>
            <w:r/>
            <w:r>
              <w:rPr>
                <w:rFonts w:ascii="Liberation Sans" w:hAnsi="Liberation Sans"/>
                <w:b w:val="0"/>
                <w:color w:val="1A1008"/>
                <w:sz w:val="17"/>
              </w:rPr>
              <w:t>1.0 / 28 augustus 2026</w:t>
            </w:r>
          </w:p>
        </w:tc>
      </w:tr>
      <w:tr>
        <w:tc>
          <w:tcPr>
            <w:tcW w:type="dxa" w:w="5100"/>
            <w:shd w:fill="F7F2E8"/>
          </w:tcPr>
          <w:p>
            <w:pPr>
              <w:spacing w:after="0"/>
            </w:pPr>
            <w:r/>
            <w:r>
              <w:rPr>
                <w:rFonts w:ascii="Liberation Sans" w:hAnsi="Liberation Sans"/>
                <w:b/>
                <w:color w:val="3A5A78"/>
                <w:sz w:val="17"/>
              </w:rPr>
              <w:t>Documenteigenaar</w:t>
            </w:r>
          </w:p>
        </w:tc>
        <w:tc>
          <w:tcPr>
            <w:tcW w:type="dxa" w:w="5100"/>
          </w:tcPr>
          <w:p>
            <w:pPr>
              <w:spacing w:after="0"/>
            </w:pPr>
            <w:r/>
            <w:r>
              <w:rPr>
                <w:rFonts w:ascii="Liberation Sans" w:hAnsi="Liberation Sans"/>
                <w:b w:val="0"/>
                <w:color w:val="1A1008"/>
                <w:sz w:val="17"/>
              </w:rPr>
              <w:t>Schmeitzke, handelend onder de namen Summa en Summa Labs</w:t>
            </w:r>
          </w:p>
        </w:tc>
      </w:tr>
      <w:tr>
        <w:tc>
          <w:tcPr>
            <w:tcW w:type="dxa" w:w="5100"/>
            <w:shd w:fill="F7F2E8"/>
          </w:tcPr>
          <w:p>
            <w:pPr>
              <w:spacing w:after="0"/>
            </w:pPr>
            <w:r/>
            <w:r>
              <w:rPr>
                <w:rFonts w:ascii="Liberation Sans" w:hAnsi="Liberation Sans"/>
                <w:b/>
                <w:color w:val="3A5A78"/>
                <w:sz w:val="17"/>
              </w:rPr>
              <w:t>Classificatie</w:t>
            </w:r>
          </w:p>
        </w:tc>
        <w:tc>
          <w:tcPr>
            <w:tcW w:type="dxa" w:w="5100"/>
          </w:tcPr>
          <w:p>
            <w:pPr>
              <w:spacing w:after="0"/>
            </w:pPr>
            <w:r/>
            <w:r>
              <w:rPr>
                <w:rFonts w:ascii="Liberation Sans" w:hAnsi="Liberation Sans"/>
                <w:b w:val="0"/>
                <w:color w:val="1A1008"/>
                <w:sz w:val="17"/>
              </w:rPr>
              <w:t>Publiek</w:t>
            </w:r>
          </w:p>
        </w:tc>
      </w:tr>
    </w:tbl>
    <w:p/>
    <w:p>
      <w:pPr>
        <w:pStyle w:val="Heading1"/>
      </w:pPr>
      <w:r>
        <w:t>1. Wie is verantwoordelijk?</w:t>
      </w:r>
    </w:p>
    <w:p>
      <w:pPr>
        <w:spacing w:after="100"/>
      </w:pPr>
      <w:r>
        <w:t>Summa is een dienst van Schmeitzke, een in Nederland ingeschreven eenmanszaak die handelt onder de namen Summa en Summa Labs. Voor verwerkingen waarvoor Summa zelf het doel en de essentiële middelen bepaalt, is Schmeitzke verwerkingsverantwoordelijke.</w:t>
      </w:r>
    </w:p>
    <w:tbl>
      <w:tblPr>
        <w:tblStyle w:val="TableGrid"/>
        <w:tblW w:type="auto" w:w="0"/>
        <w:jc w:val="left"/>
        <w:tblLook w:firstColumn="1" w:firstRow="1" w:lastColumn="0" w:lastRow="0" w:noHBand="0" w:noVBand="1" w:val="04A0"/>
      </w:tblPr>
      <w:tblGrid>
        <w:gridCol w:w="5100"/>
        <w:gridCol w:w="5100"/>
      </w:tblGrid>
      <w:tr>
        <w:tc>
          <w:tcPr>
            <w:tcW w:type="dxa" w:w="5100"/>
            <w:shd w:fill="3A5A78"/>
            <w:vAlign w:val="center"/>
          </w:tcPr>
          <w:p>
            <w:pPr>
              <w:spacing w:after="0"/>
            </w:pPr>
            <w:r/>
            <w:r>
              <w:rPr>
                <w:rFonts w:ascii="Liberation Sans" w:hAnsi="Liberation Sans"/>
                <w:b/>
                <w:color w:val="FFFFFF"/>
                <w:sz w:val="16"/>
              </w:rPr>
              <w:t>Gegeven</w:t>
            </w:r>
          </w:p>
        </w:tc>
        <w:tc>
          <w:tcPr>
            <w:tcW w:type="dxa" w:w="5100"/>
            <w:shd w:fill="3A5A78"/>
            <w:vAlign w:val="center"/>
          </w:tcPr>
          <w:p>
            <w:pPr>
              <w:spacing w:after="0"/>
            </w:pPr>
            <w:r/>
            <w:r>
              <w:rPr>
                <w:rFonts w:ascii="Liberation Sans" w:hAnsi="Liberation Sans"/>
                <w:b/>
                <w:color w:val="FFFFFF"/>
                <w:sz w:val="16"/>
              </w:rPr>
              <w:t>Waarde</w:t>
            </w:r>
          </w:p>
        </w:tc>
      </w:tr>
      <w:tr>
        <w:tc>
          <w:tcPr>
            <w:tcW w:type="dxa" w:w="5100"/>
            <w:vAlign w:val="top"/>
          </w:tcPr>
          <w:p>
            <w:pPr>
              <w:spacing w:after="0"/>
            </w:pPr>
            <w:r/>
            <w:r>
              <w:rPr>
                <w:rFonts w:ascii="Liberation Sans" w:hAnsi="Liberation Sans"/>
                <w:b w:val="0"/>
                <w:color w:val="1A1008"/>
                <w:sz w:val="16"/>
              </w:rPr>
              <w:t>Adres</w:t>
            </w:r>
          </w:p>
        </w:tc>
        <w:tc>
          <w:tcPr>
            <w:tcW w:type="dxa" w:w="5100"/>
            <w:vAlign w:val="top"/>
          </w:tcPr>
          <w:p>
            <w:pPr>
              <w:spacing w:after="0"/>
            </w:pPr>
            <w:r/>
            <w:r>
              <w:rPr>
                <w:rFonts w:ascii="Liberation Sans" w:hAnsi="Liberation Sans"/>
                <w:b w:val="0"/>
                <w:color w:val="1A1008"/>
                <w:sz w:val="16"/>
              </w:rPr>
              <w:t>Sint Annadal 12-D, 6214 PA Maastricht, Nederland</w:t>
            </w:r>
          </w:p>
        </w:tc>
      </w:tr>
      <w:tr>
        <w:tc>
          <w:tcPr>
            <w:tcW w:type="dxa" w:w="5100"/>
            <w:vAlign w:val="top"/>
            <w:shd w:fill="FBF8F2"/>
          </w:tcPr>
          <w:p>
            <w:pPr>
              <w:spacing w:after="0"/>
            </w:pPr>
            <w:r/>
            <w:r>
              <w:rPr>
                <w:rFonts w:ascii="Liberation Sans" w:hAnsi="Liberation Sans"/>
                <w:b w:val="0"/>
                <w:color w:val="1A1008"/>
                <w:sz w:val="16"/>
              </w:rPr>
              <w:t>KVK</w:t>
            </w:r>
          </w:p>
        </w:tc>
        <w:tc>
          <w:tcPr>
            <w:tcW w:type="dxa" w:w="5100"/>
            <w:vAlign w:val="top"/>
            <w:shd w:fill="FBF8F2"/>
          </w:tcPr>
          <w:p>
            <w:pPr>
              <w:spacing w:after="0"/>
            </w:pPr>
            <w:r/>
            <w:r>
              <w:rPr>
                <w:rFonts w:ascii="Liberation Sans" w:hAnsi="Liberation Sans"/>
                <w:b w:val="0"/>
                <w:color w:val="1A1008"/>
                <w:sz w:val="16"/>
              </w:rPr>
              <w:t>91878381</w:t>
            </w:r>
          </w:p>
        </w:tc>
      </w:tr>
      <w:tr>
        <w:tc>
          <w:tcPr>
            <w:tcW w:type="dxa" w:w="5100"/>
            <w:vAlign w:val="top"/>
          </w:tcPr>
          <w:p>
            <w:pPr>
              <w:spacing w:after="0"/>
            </w:pPr>
            <w:r/>
            <w:r>
              <w:rPr>
                <w:rFonts w:ascii="Liberation Sans" w:hAnsi="Liberation Sans"/>
                <w:b w:val="0"/>
                <w:color w:val="1A1008"/>
                <w:sz w:val="16"/>
              </w:rPr>
              <w:t>BTW-id</w:t>
            </w:r>
          </w:p>
        </w:tc>
        <w:tc>
          <w:tcPr>
            <w:tcW w:type="dxa" w:w="5100"/>
            <w:vAlign w:val="top"/>
          </w:tcPr>
          <w:p>
            <w:pPr>
              <w:spacing w:after="0"/>
            </w:pPr>
            <w:r/>
            <w:r>
              <w:rPr>
                <w:rFonts w:ascii="Liberation Sans" w:hAnsi="Liberation Sans"/>
                <w:b w:val="0"/>
                <w:color w:val="1A1008"/>
                <w:sz w:val="16"/>
              </w:rPr>
              <w:t>NL004922078B10</w:t>
            </w:r>
          </w:p>
        </w:tc>
      </w:tr>
      <w:tr>
        <w:tc>
          <w:tcPr>
            <w:tcW w:type="dxa" w:w="5100"/>
            <w:vAlign w:val="top"/>
            <w:shd w:fill="FBF8F2"/>
          </w:tcPr>
          <w:p>
            <w:pPr>
              <w:spacing w:after="0"/>
            </w:pPr>
            <w:r/>
            <w:r>
              <w:rPr>
                <w:rFonts w:ascii="Liberation Sans" w:hAnsi="Liberation Sans"/>
                <w:b w:val="0"/>
                <w:color w:val="1A1008"/>
                <w:sz w:val="16"/>
              </w:rPr>
              <w:t>Privacycontact</w:t>
            </w:r>
          </w:p>
        </w:tc>
        <w:tc>
          <w:tcPr>
            <w:tcW w:type="dxa" w:w="5100"/>
            <w:vAlign w:val="top"/>
            <w:shd w:fill="FBF8F2"/>
          </w:tcPr>
          <w:p>
            <w:pPr>
              <w:spacing w:after="0"/>
            </w:pPr>
            <w:r/>
            <w:r>
              <w:rPr>
                <w:rFonts w:ascii="Liberation Sans" w:hAnsi="Liberation Sans"/>
                <w:b w:val="0"/>
                <w:color w:val="1A1008"/>
                <w:sz w:val="16"/>
              </w:rPr>
              <w:t>privacy@summalabs.ai</w:t>
            </w:r>
          </w:p>
        </w:tc>
      </w:tr>
      <w:tr>
        <w:tc>
          <w:tcPr>
            <w:tcW w:type="dxa" w:w="5100"/>
            <w:vAlign w:val="top"/>
          </w:tcPr>
          <w:p>
            <w:pPr>
              <w:spacing w:after="0"/>
            </w:pPr>
            <w:r/>
            <w:r>
              <w:rPr>
                <w:rFonts w:ascii="Liberation Sans" w:hAnsi="Liberation Sans"/>
                <w:b w:val="0"/>
                <w:color w:val="1A1008"/>
                <w:sz w:val="16"/>
              </w:rPr>
              <w:t>Algemeen</w:t>
            </w:r>
          </w:p>
        </w:tc>
        <w:tc>
          <w:tcPr>
            <w:tcW w:type="dxa" w:w="5100"/>
            <w:vAlign w:val="top"/>
          </w:tcPr>
          <w:p>
            <w:pPr>
              <w:spacing w:after="0"/>
            </w:pPr>
            <w:r/>
            <w:r>
              <w:rPr>
                <w:rFonts w:ascii="Liberation Sans" w:hAnsi="Liberation Sans"/>
                <w:b w:val="0"/>
                <w:color w:val="1A1008"/>
                <w:sz w:val="16"/>
              </w:rPr>
              <w:t>info@summalabs.ai</w:t>
            </w:r>
          </w:p>
        </w:tc>
      </w:tr>
      <w:tr>
        <w:tc>
          <w:tcPr>
            <w:tcW w:type="dxa" w:w="5100"/>
            <w:vAlign w:val="top"/>
            <w:shd w:fill="FBF8F2"/>
          </w:tcPr>
          <w:p>
            <w:pPr>
              <w:spacing w:after="0"/>
            </w:pPr>
            <w:r/>
            <w:r>
              <w:rPr>
                <w:rFonts w:ascii="Liberation Sans" w:hAnsi="Liberation Sans"/>
                <w:b w:val="0"/>
                <w:color w:val="1A1008"/>
                <w:sz w:val="16"/>
              </w:rPr>
              <w:t>Security</w:t>
            </w:r>
          </w:p>
        </w:tc>
        <w:tc>
          <w:tcPr>
            <w:tcW w:type="dxa" w:w="5100"/>
            <w:vAlign w:val="top"/>
            <w:shd w:fill="FBF8F2"/>
          </w:tcPr>
          <w:p>
            <w:pPr>
              <w:spacing w:after="0"/>
            </w:pPr>
            <w:r/>
            <w:r>
              <w:rPr>
                <w:rFonts w:ascii="Liberation Sans" w:hAnsi="Liberation Sans"/>
                <w:b w:val="0"/>
                <w:color w:val="1A1008"/>
                <w:sz w:val="16"/>
              </w:rPr>
              <w:t>security@summalabs.ai</w:t>
            </w:r>
          </w:p>
        </w:tc>
      </w:tr>
    </w:tbl>
    <w:p/>
    <w:p>
      <w:pPr>
        <w:spacing w:after="100"/>
      </w:pPr>
      <w:r>
        <w:t>Bij zakelijke werkruimten bepaalt de klant in beginsel waarom medewerkers en andere betrokkenen hun werkgegevens in Summa verwerken. Voor die klantdata treedt Summa doorgaans op als verwerker. Summa blijft zelfstandig verwerkingsverantwoordelijke voor eigen account-, contract-, facturatie-, beveiligings-, fraudepreventie- en wettelijke administratieve verwerkingen.</w:t>
      </w:r>
    </w:p>
    <w:p>
      <w:pPr>
        <w:pStyle w:val="Heading1"/>
      </w:pPr>
      <w:r>
        <w:t>2. Welke persoonsgegevens verwerken wij?</w:t>
      </w:r>
    </w:p>
    <w:p>
      <w:pPr>
        <w:spacing w:after="100"/>
      </w:pPr>
      <w:r>
        <w:t>Afhankelijk van het gebruik kunnen de volgende categorieën worden verwerkt:</w:t>
      </w:r>
    </w:p>
    <w:p>
      <w:pPr>
        <w:pStyle w:val="ListBullet"/>
        <w:spacing w:after="40"/>
        <w:ind w:left="227"/>
      </w:pPr>
      <w:r>
        <w:t>account- en identiteitsgegevens, zoals naam, e-mailadres, organisatie, rol, externe identity-id, aanmeld- en authenticatiegebeurtenissen en voorkeuren;</w:t>
      </w:r>
    </w:p>
    <w:p>
      <w:pPr>
        <w:pStyle w:val="ListBullet"/>
        <w:spacing w:after="40"/>
        <w:ind w:left="227"/>
      </w:pPr>
      <w:r>
        <w:t>wachtlijst- en onboardinggegevens;</w:t>
      </w:r>
    </w:p>
    <w:p>
      <w:pPr>
        <w:pStyle w:val="ListBullet"/>
        <w:spacing w:after="40"/>
        <w:ind w:left="227"/>
      </w:pPr>
      <w:r>
        <w:t>prompts, chatberichten, modelantwoorden, titels, instructies, geheugenfeiten, bestanden, gegenereerde artefacten en bronverwijzingen;</w:t>
      </w:r>
    </w:p>
    <w:p>
      <w:pPr>
        <w:pStyle w:val="ListBullet"/>
        <w:spacing w:after="40"/>
        <w:ind w:left="227"/>
      </w:pPr>
      <w:r>
        <w:t>bedrijfskennis en gegevens die via toegestane integraties door een gebruiker of beheerder beschikbaar worden gemaakt;</w:t>
      </w:r>
    </w:p>
    <w:p>
      <w:pPr>
        <w:pStyle w:val="ListBullet"/>
        <w:spacing w:after="40"/>
        <w:ind w:left="227"/>
      </w:pPr>
      <w:r>
        <w:t>Teams-vergadermetadata en, na expliciete verwerking van een vergadering, transcript, aanwezigheid en chat voor zover Microsoft deze aan de bevoegde gebruiker beschikbaar stelt;</w:t>
      </w:r>
    </w:p>
    <w:p>
      <w:pPr>
        <w:pStyle w:val="ListBullet"/>
        <w:spacing w:after="40"/>
        <w:ind w:left="227"/>
      </w:pPr>
      <w:r>
        <w:t>usage- en tokengegevens, model- en toolmetadata en auditgebeurtenissen;</w:t>
      </w:r>
    </w:p>
    <w:p>
      <w:pPr>
        <w:pStyle w:val="ListBullet"/>
        <w:spacing w:after="40"/>
        <w:ind w:left="227"/>
      </w:pPr>
      <w:r>
        <w:t>IP-adressen en request-/securitymetadata voor beveiliging en misbruikpreventie; de interne webanalyticsfunctie is ontworpen zonder IP-opslag of een identificator die een dag overleeft;</w:t>
      </w:r>
    </w:p>
    <w:p>
      <w:pPr>
        <w:pStyle w:val="ListBullet"/>
        <w:spacing w:after="40"/>
        <w:ind w:left="227"/>
      </w:pPr>
      <w:r>
        <w:t>factuur- en abonnementsgegevens; volledige betaalkaartgegevens worden door Stripe verwerkt en niet in de Summa-applicatiedatabase opgeslagen;</w:t>
      </w:r>
    </w:p>
    <w:p>
      <w:pPr>
        <w:pStyle w:val="ListBullet"/>
        <w:spacing w:after="40"/>
        <w:ind w:left="227"/>
      </w:pPr>
      <w:r>
        <w:t>support-, privacy-, klacht- en incidentcorrespondentie.</w:t>
      </w:r>
    </w:p>
    <w:p>
      <w:pPr>
        <w:spacing w:after="100"/>
      </w:pPr>
      <w:r>
        <w:t>Gebruikers kunnen bijzondere persoonsgegevens of gegevens over derden in vrije tekst invoeren. Summa heeft deze gegevens niet standaard nodig. Klanten en gebruikers moeten dataminimalisatie toepassen en mogen geen wachtwoorden, volledige betaalkaartgegevens of andere authenticatiegeheimen in chats plaatsen.</w:t>
      </w:r>
    </w:p>
    <w:p>
      <w:pPr>
        <w:pStyle w:val="Heading1"/>
      </w:pPr>
      <w:r>
        <w:t>3. Doeleinden en rechtsgrondslagen</w:t>
      </w:r>
    </w:p>
    <w:tbl>
      <w:tblPr>
        <w:tblStyle w:val="TableGrid"/>
        <w:tblW w:type="auto" w:w="0"/>
        <w:jc w:val="left"/>
        <w:tblLook w:firstColumn="1" w:firstRow="1" w:lastColumn="0" w:lastRow="0" w:noHBand="0" w:noVBand="1" w:val="04A0"/>
      </w:tblPr>
      <w:tblGrid>
        <w:gridCol w:w="5100"/>
        <w:gridCol w:w="5100"/>
      </w:tblGrid>
      <w:tr>
        <w:tc>
          <w:tcPr>
            <w:tcW w:type="dxa" w:w="5100"/>
            <w:shd w:fill="3A5A78"/>
            <w:vAlign w:val="center"/>
          </w:tcPr>
          <w:p>
            <w:pPr>
              <w:spacing w:after="0"/>
            </w:pPr>
            <w:r/>
            <w:r>
              <w:rPr>
                <w:rFonts w:ascii="Liberation Sans" w:hAnsi="Liberation Sans"/>
                <w:b/>
                <w:color w:val="FFFFFF"/>
                <w:sz w:val="16"/>
              </w:rPr>
              <w:t>Doel</w:t>
            </w:r>
          </w:p>
        </w:tc>
        <w:tc>
          <w:tcPr>
            <w:tcW w:type="dxa" w:w="5100"/>
            <w:shd w:fill="3A5A78"/>
            <w:vAlign w:val="center"/>
          </w:tcPr>
          <w:p>
            <w:pPr>
              <w:spacing w:after="0"/>
            </w:pPr>
            <w:r/>
            <w:r>
              <w:rPr>
                <w:rFonts w:ascii="Liberation Sans" w:hAnsi="Liberation Sans"/>
                <w:b/>
                <w:color w:val="FFFFFF"/>
                <w:sz w:val="16"/>
              </w:rPr>
              <w:t>Grondslag bij Summa als verantwoordelijke</w:t>
            </w:r>
          </w:p>
        </w:tc>
      </w:tr>
      <w:tr>
        <w:tc>
          <w:tcPr>
            <w:tcW w:type="dxa" w:w="5100"/>
            <w:vAlign w:val="top"/>
          </w:tcPr>
          <w:p>
            <w:pPr>
              <w:spacing w:after="0"/>
            </w:pPr>
            <w:r/>
            <w:r>
              <w:rPr>
                <w:rFonts w:ascii="Liberation Sans" w:hAnsi="Liberation Sans"/>
                <w:b w:val="0"/>
                <w:color w:val="1A1008"/>
                <w:sz w:val="16"/>
              </w:rPr>
              <w:t>Account aanmaken en dienst leveren</w:t>
            </w:r>
          </w:p>
        </w:tc>
        <w:tc>
          <w:tcPr>
            <w:tcW w:type="dxa" w:w="5100"/>
            <w:vAlign w:val="top"/>
          </w:tcPr>
          <w:p>
            <w:pPr>
              <w:spacing w:after="0"/>
            </w:pPr>
            <w:r/>
            <w:r>
              <w:rPr>
                <w:rFonts w:ascii="Liberation Sans" w:hAnsi="Liberation Sans"/>
                <w:b w:val="0"/>
                <w:color w:val="1A1008"/>
                <w:sz w:val="16"/>
              </w:rPr>
              <w:t>Uitvoering overeenkomst / stappen voorafgaand aan overeenkomst</w:t>
            </w:r>
          </w:p>
        </w:tc>
      </w:tr>
      <w:tr>
        <w:tc>
          <w:tcPr>
            <w:tcW w:type="dxa" w:w="5100"/>
            <w:vAlign w:val="top"/>
            <w:shd w:fill="FBF8F2"/>
          </w:tcPr>
          <w:p>
            <w:pPr>
              <w:spacing w:after="0"/>
            </w:pPr>
            <w:r/>
            <w:r>
              <w:rPr>
                <w:rFonts w:ascii="Liberation Sans" w:hAnsi="Liberation Sans"/>
                <w:b w:val="0"/>
                <w:color w:val="1A1008"/>
                <w:sz w:val="16"/>
              </w:rPr>
              <w:t>Persoonlijke AI-chat en functies leveren</w:t>
            </w:r>
          </w:p>
        </w:tc>
        <w:tc>
          <w:tcPr>
            <w:tcW w:type="dxa" w:w="5100"/>
            <w:vAlign w:val="top"/>
            <w:shd w:fill="FBF8F2"/>
          </w:tcPr>
          <w:p>
            <w:pPr>
              <w:spacing w:after="0"/>
            </w:pPr>
            <w:r/>
            <w:r>
              <w:rPr>
                <w:rFonts w:ascii="Liberation Sans" w:hAnsi="Liberation Sans"/>
                <w:b w:val="0"/>
                <w:color w:val="1A1008"/>
                <w:sz w:val="16"/>
              </w:rPr>
              <w:t>Uitvoering overeenkomst</w:t>
            </w:r>
          </w:p>
        </w:tc>
      </w:tr>
      <w:tr>
        <w:tc>
          <w:tcPr>
            <w:tcW w:type="dxa" w:w="5100"/>
            <w:vAlign w:val="top"/>
          </w:tcPr>
          <w:p>
            <w:pPr>
              <w:spacing w:after="0"/>
            </w:pPr>
            <w:r/>
            <w:r>
              <w:rPr>
                <w:rFonts w:ascii="Liberation Sans" w:hAnsi="Liberation Sans"/>
                <w:b w:val="0"/>
                <w:color w:val="1A1008"/>
                <w:sz w:val="16"/>
              </w:rPr>
              <w:t>Zakelijke werkruimte op instructie van klant</w:t>
            </w:r>
          </w:p>
        </w:tc>
        <w:tc>
          <w:tcPr>
            <w:tcW w:type="dxa" w:w="5100"/>
            <w:vAlign w:val="top"/>
          </w:tcPr>
          <w:p>
            <w:pPr>
              <w:spacing w:after="0"/>
            </w:pPr>
            <w:r/>
            <w:r>
              <w:rPr>
                <w:rFonts w:ascii="Liberation Sans" w:hAnsi="Liberation Sans"/>
                <w:b w:val="0"/>
                <w:color w:val="1A1008"/>
                <w:sz w:val="16"/>
              </w:rPr>
              <w:t>Verwerkersrol; grondslag wordt door klant bepaald</w:t>
            </w:r>
          </w:p>
        </w:tc>
      </w:tr>
      <w:tr>
        <w:tc>
          <w:tcPr>
            <w:tcW w:type="dxa" w:w="5100"/>
            <w:vAlign w:val="top"/>
            <w:shd w:fill="FBF8F2"/>
          </w:tcPr>
          <w:p>
            <w:pPr>
              <w:spacing w:after="0"/>
            </w:pPr>
            <w:r/>
            <w:r>
              <w:rPr>
                <w:rFonts w:ascii="Liberation Sans" w:hAnsi="Liberation Sans"/>
                <w:b w:val="0"/>
                <w:color w:val="1A1008"/>
                <w:sz w:val="16"/>
              </w:rPr>
              <w:t>Facturatie en administratie</w:t>
            </w:r>
          </w:p>
        </w:tc>
        <w:tc>
          <w:tcPr>
            <w:tcW w:type="dxa" w:w="5100"/>
            <w:vAlign w:val="top"/>
            <w:shd w:fill="FBF8F2"/>
          </w:tcPr>
          <w:p>
            <w:pPr>
              <w:spacing w:after="0"/>
            </w:pPr>
            <w:r/>
            <w:r>
              <w:rPr>
                <w:rFonts w:ascii="Liberation Sans" w:hAnsi="Liberation Sans"/>
                <w:b w:val="0"/>
                <w:color w:val="1A1008"/>
                <w:sz w:val="16"/>
              </w:rPr>
              <w:t>Overeenkomst en wettelijke verplichting</w:t>
            </w:r>
          </w:p>
        </w:tc>
      </w:tr>
      <w:tr>
        <w:tc>
          <w:tcPr>
            <w:tcW w:type="dxa" w:w="5100"/>
            <w:vAlign w:val="top"/>
          </w:tcPr>
          <w:p>
            <w:pPr>
              <w:spacing w:after="0"/>
            </w:pPr>
            <w:r/>
            <w:r>
              <w:rPr>
                <w:rFonts w:ascii="Liberation Sans" w:hAnsi="Liberation Sans"/>
                <w:b w:val="0"/>
                <w:color w:val="1A1008"/>
                <w:sz w:val="16"/>
              </w:rPr>
              <w:t>Beveiliging, misbruikpreventie en audit</w:t>
            </w:r>
          </w:p>
        </w:tc>
        <w:tc>
          <w:tcPr>
            <w:tcW w:type="dxa" w:w="5100"/>
            <w:vAlign w:val="top"/>
          </w:tcPr>
          <w:p>
            <w:pPr>
              <w:spacing w:after="0"/>
            </w:pPr>
            <w:r/>
            <w:r>
              <w:rPr>
                <w:rFonts w:ascii="Liberation Sans" w:hAnsi="Liberation Sans"/>
                <w:b w:val="0"/>
                <w:color w:val="1A1008"/>
                <w:sz w:val="16"/>
              </w:rPr>
              <w:t>Gerechtvaardigd belang en waar nodig wettelijke verplichting</w:t>
            </w:r>
          </w:p>
        </w:tc>
      </w:tr>
      <w:tr>
        <w:tc>
          <w:tcPr>
            <w:tcW w:type="dxa" w:w="5100"/>
            <w:vAlign w:val="top"/>
            <w:shd w:fill="FBF8F2"/>
          </w:tcPr>
          <w:p>
            <w:pPr>
              <w:spacing w:after="0"/>
            </w:pPr>
            <w:r/>
            <w:r>
              <w:rPr>
                <w:rFonts w:ascii="Liberation Sans" w:hAnsi="Liberation Sans"/>
                <w:b w:val="0"/>
                <w:color w:val="1A1008"/>
                <w:sz w:val="16"/>
              </w:rPr>
              <w:t>Support en klachten</w:t>
            </w:r>
          </w:p>
        </w:tc>
        <w:tc>
          <w:tcPr>
            <w:tcW w:type="dxa" w:w="5100"/>
            <w:vAlign w:val="top"/>
            <w:shd w:fill="FBF8F2"/>
          </w:tcPr>
          <w:p>
            <w:pPr>
              <w:spacing w:after="0"/>
            </w:pPr>
            <w:r/>
            <w:r>
              <w:rPr>
                <w:rFonts w:ascii="Liberation Sans" w:hAnsi="Liberation Sans"/>
                <w:b w:val="0"/>
                <w:color w:val="1A1008"/>
                <w:sz w:val="16"/>
              </w:rPr>
              <w:t>Overeenkomst, gerechtvaardigd belang of wettelijke verplichting</w:t>
            </w:r>
          </w:p>
        </w:tc>
      </w:tr>
      <w:tr>
        <w:tc>
          <w:tcPr>
            <w:tcW w:type="dxa" w:w="5100"/>
            <w:vAlign w:val="top"/>
          </w:tcPr>
          <w:p>
            <w:pPr>
              <w:spacing w:after="0"/>
            </w:pPr>
            <w:r/>
            <w:r>
              <w:rPr>
                <w:rFonts w:ascii="Liberation Sans" w:hAnsi="Liberation Sans"/>
                <w:b w:val="0"/>
                <w:color w:val="1A1008"/>
                <w:sz w:val="16"/>
              </w:rPr>
              <w:t>Privacyverzoeken en bewijs van afhandeling</w:t>
            </w:r>
          </w:p>
        </w:tc>
        <w:tc>
          <w:tcPr>
            <w:tcW w:type="dxa" w:w="5100"/>
            <w:vAlign w:val="top"/>
          </w:tcPr>
          <w:p>
            <w:pPr>
              <w:spacing w:after="0"/>
            </w:pPr>
            <w:r/>
            <w:r>
              <w:rPr>
                <w:rFonts w:ascii="Liberation Sans" w:hAnsi="Liberation Sans"/>
                <w:b w:val="0"/>
                <w:color w:val="1A1008"/>
                <w:sz w:val="16"/>
              </w:rPr>
              <w:t>Wettelijke verplichting en rechtsvorderingen</w:t>
            </w:r>
          </w:p>
        </w:tc>
      </w:tr>
      <w:tr>
        <w:tc>
          <w:tcPr>
            <w:tcW w:type="dxa" w:w="5100"/>
            <w:vAlign w:val="top"/>
            <w:shd w:fill="FBF8F2"/>
          </w:tcPr>
          <w:p>
            <w:pPr>
              <w:spacing w:after="0"/>
            </w:pPr>
            <w:r/>
            <w:r>
              <w:rPr>
                <w:rFonts w:ascii="Liberation Sans" w:hAnsi="Liberation Sans"/>
                <w:b w:val="0"/>
                <w:color w:val="1A1008"/>
                <w:sz w:val="16"/>
              </w:rPr>
              <w:t>Wachtlijst / optionele marketing</w:t>
            </w:r>
          </w:p>
        </w:tc>
        <w:tc>
          <w:tcPr>
            <w:tcW w:type="dxa" w:w="5100"/>
            <w:vAlign w:val="top"/>
            <w:shd w:fill="FBF8F2"/>
          </w:tcPr>
          <w:p>
            <w:pPr>
              <w:spacing w:after="0"/>
            </w:pPr>
            <w:r/>
            <w:r>
              <w:rPr>
                <w:rFonts w:ascii="Liberation Sans" w:hAnsi="Liberation Sans"/>
                <w:b w:val="0"/>
                <w:color w:val="1A1008"/>
                <w:sz w:val="16"/>
              </w:rPr>
              <w:t>Toestemming; altijd intrekbaar</w:t>
            </w:r>
          </w:p>
        </w:tc>
      </w:tr>
      <w:tr>
        <w:tc>
          <w:tcPr>
            <w:tcW w:type="dxa" w:w="5100"/>
            <w:vAlign w:val="top"/>
          </w:tcPr>
          <w:p>
            <w:pPr>
              <w:spacing w:after="0"/>
            </w:pPr>
            <w:r/>
            <w:r>
              <w:rPr>
                <w:rFonts w:ascii="Liberation Sans" w:hAnsi="Liberation Sans"/>
                <w:b w:val="0"/>
                <w:color w:val="1A1008"/>
                <w:sz w:val="16"/>
              </w:rPr>
              <w:t>Wettig verzoek van bevoegde autoriteit</w:t>
            </w:r>
          </w:p>
        </w:tc>
        <w:tc>
          <w:tcPr>
            <w:tcW w:type="dxa" w:w="5100"/>
            <w:vAlign w:val="top"/>
          </w:tcPr>
          <w:p>
            <w:pPr>
              <w:spacing w:after="0"/>
            </w:pPr>
            <w:r/>
            <w:r>
              <w:rPr>
                <w:rFonts w:ascii="Liberation Sans" w:hAnsi="Liberation Sans"/>
                <w:b w:val="0"/>
                <w:color w:val="1A1008"/>
                <w:sz w:val="16"/>
              </w:rPr>
              <w:t>Wettelijke verplichting, met toetsing van bevoegdheid en proportionaliteit</w:t>
            </w:r>
          </w:p>
        </w:tc>
      </w:tr>
    </w:tbl>
    <w:p/>
    <w:p>
      <w:pPr>
        <w:spacing w:after="100"/>
      </w:pPr>
      <w:r>
        <w:t>Summa gebruikt geen toestemming voor verwerking die objectief noodzakelijk is om de gevraagde contractuele dienst te leveren. Marketingtoestemming staat los van algemene voorwaarden en kan afzonderlijk worden ingetrokken.</w:t>
      </w:r>
    </w:p>
    <w:p>
      <w:pPr>
        <w:pStyle w:val="Heading1"/>
      </w:pPr>
      <w:r>
        <w:t>4. Hoe werkt AI-verwerking?</w:t>
      </w:r>
    </w:p>
    <w:p>
      <w:pPr>
        <w:spacing w:after="100"/>
      </w:pPr>
      <w:r>
        <w:t>De browser communiceert met de Summa-frontend en -backend. De backend is de beleidsgrens: daar worden identiteit, tenant, rechten, quota en tooltoegang gecontroleerd voordat informatie naar een model of tool gaat.</w:t>
      </w:r>
    </w:p>
    <w:p>
      <w:pPr>
        <w:spacing w:after="100"/>
      </w:pPr>
      <w:r>
        <w:t>De kernapplicatie, databases, objectopslag, zelf gehoste identiteit en actieve AI-inference draaien op Leafcloud-infrastructuur in Nederland. De inference wordt door Summa zelf beheerd op Leafcloud GPU-instances uit de NVIDIA RTX 6000-serie. Prompts en noodzakelijke modelcontext blijven voor de kerninference binnen deze Nederlandse omgeving. Summa gebruikt geen stilzwijgende externe commerciële model-API als fallback.</w:t>
      </w:r>
    </w:p>
    <w:p>
      <w:pPr>
        <w:spacing w:after="100"/>
      </w:pPr>
      <w:r>
        <w:t>Klantcontent wordt niet gebruikt om het algemene Summa-model te trainen of fine-tunen, tenzij daarover afzonderlijk, uitdrukkelijk en schriftelijk met de betreffende klant afspraken zijn gemaakt.</w:t>
      </w:r>
    </w:p>
    <w:p>
      <w:pPr>
        <w:spacing w:after="100"/>
      </w:pPr>
      <w:r>
        <w:t>AI-output kan feitelijk onjuist, onvolledig, bevooroordeeld of ongeschikt zijn. Belangrijke informatie moet door een mens worden gecontroleerd. De standaarddienst is niet bedoeld om zonder betekenisvolle menselijke beoordeling besluiten met juridische of vergelijkbaar ingrijpende gevolgen over personen te nemen.</w:t>
      </w:r>
    </w:p>
    <w:p>
      <w:pPr>
        <w:pStyle w:val="Heading1"/>
      </w:pPr>
      <w:r>
        <w:t>5. Tools, bronnen en integraties</w:t>
      </w:r>
    </w:p>
    <w:p>
      <w:pPr>
        <w:spacing w:after="100"/>
      </w:pPr>
      <w:r>
        <w:t>Wanneer een gebruiker een tool activeert, worden alleen de gegevens verzonden die redelijkerwijs nodig zijn voor die tool. Webresearch stuurt zoektermen naar Linkup; rechtstreeks openen van publieke webpagina's gebeurt via een eigen, SSRF-afgeschermde retrievalservice en kan bij bepaalde blokkades via Linkup Fetch verlopen.</w:t>
      </w:r>
    </w:p>
    <w:p>
      <w:pPr>
        <w:spacing w:after="100"/>
      </w:pPr>
      <w:r>
        <w:t>Google Drive, Microsoft OneDrive/SharePoint/Teams, Dropbox, GitHub, GitLab en Salesforce zijn optionele gegevensbronnen. De concrete toegang volgt de OAuth-/appmachtigingen en het tenantbeleid. Dropbox wijkt af doordat de technische OAuth-grant, ondanks alleen-lezen scopes, Full Dropbox-toegang kan hebben; Summa beperkt feitelijke reads applicatief tot door de gebruiker via de Dropbox Chooser geselecteerde objecten. GitLab `read_api` kan technisch breder zijn dan één repository; Summa beperkt gebruik aanvullend via configuratie en gebruikersactie.</w:t>
      </w:r>
    </w:p>
    <w:p>
      <w:pPr>
        <w:pStyle w:val="Heading1"/>
      </w:pPr>
      <w:r>
        <w:t>6. Ontvangers en locaties</w:t>
      </w:r>
    </w:p>
    <w:tbl>
      <w:tblPr>
        <w:tblStyle w:val="TableGrid"/>
        <w:tblW w:type="auto" w:w="0"/>
        <w:jc w:val="left"/>
        <w:tblLook w:firstColumn="1" w:firstRow="1" w:lastColumn="0" w:lastRow="0" w:noHBand="0" w:noVBand="1" w:val="04A0"/>
      </w:tblPr>
      <w:tblGrid>
        <w:gridCol w:w="3400"/>
        <w:gridCol w:w="3400"/>
        <w:gridCol w:w="3400"/>
      </w:tblGrid>
      <w:tr>
        <w:tc>
          <w:tcPr>
            <w:tcW w:type="dxa" w:w="3400"/>
            <w:shd w:fill="3A5A78"/>
            <w:vAlign w:val="center"/>
          </w:tcPr>
          <w:p>
            <w:pPr>
              <w:spacing w:after="0"/>
            </w:pPr>
            <w:r/>
            <w:r>
              <w:rPr>
                <w:rFonts w:ascii="Liberation Sans" w:hAnsi="Liberation Sans"/>
                <w:b/>
                <w:color w:val="FFFFFF"/>
                <w:sz w:val="16"/>
              </w:rPr>
              <w:t>Ontvanger / categorie</w:t>
            </w:r>
          </w:p>
        </w:tc>
        <w:tc>
          <w:tcPr>
            <w:tcW w:type="dxa" w:w="3400"/>
            <w:shd w:fill="3A5A78"/>
            <w:vAlign w:val="center"/>
          </w:tcPr>
          <w:p>
            <w:pPr>
              <w:spacing w:after="0"/>
            </w:pPr>
            <w:r/>
            <w:r>
              <w:rPr>
                <w:rFonts w:ascii="Liberation Sans" w:hAnsi="Liberation Sans"/>
                <w:b/>
                <w:color w:val="FFFFFF"/>
                <w:sz w:val="16"/>
              </w:rPr>
              <w:t>Functie</w:t>
            </w:r>
          </w:p>
        </w:tc>
        <w:tc>
          <w:tcPr>
            <w:tcW w:type="dxa" w:w="3400"/>
            <w:shd w:fill="3A5A78"/>
            <w:vAlign w:val="center"/>
          </w:tcPr>
          <w:p>
            <w:pPr>
              <w:spacing w:after="0"/>
            </w:pPr>
            <w:r/>
            <w:r>
              <w:rPr>
                <w:rFonts w:ascii="Liberation Sans" w:hAnsi="Liberation Sans"/>
                <w:b/>
                <w:color w:val="FFFFFF"/>
                <w:sz w:val="16"/>
              </w:rPr>
              <w:t>Hoofdlocatie / relevante uitzondering</w:t>
            </w:r>
          </w:p>
        </w:tc>
      </w:tr>
      <w:tr>
        <w:tc>
          <w:tcPr>
            <w:tcW w:type="dxa" w:w="3400"/>
            <w:vAlign w:val="top"/>
          </w:tcPr>
          <w:p>
            <w:pPr>
              <w:spacing w:after="0"/>
            </w:pPr>
            <w:r/>
            <w:r>
              <w:rPr>
                <w:rFonts w:ascii="Liberation Sans" w:hAnsi="Liberation Sans"/>
                <w:b w:val="0"/>
                <w:color w:val="1A1008"/>
                <w:sz w:val="16"/>
              </w:rPr>
              <w:t>Leafcloud B.V.</w:t>
            </w:r>
          </w:p>
        </w:tc>
        <w:tc>
          <w:tcPr>
            <w:tcW w:type="dxa" w:w="3400"/>
            <w:vAlign w:val="top"/>
          </w:tcPr>
          <w:p>
            <w:pPr>
              <w:spacing w:after="0"/>
            </w:pPr>
            <w:r/>
            <w:r>
              <w:rPr>
                <w:rFonts w:ascii="Liberation Sans" w:hAnsi="Liberation Sans"/>
                <w:b w:val="0"/>
                <w:color w:val="1A1008"/>
                <w:sz w:val="16"/>
              </w:rPr>
              <w:t>Cloudinfrastructuur voor kernapplicatie, opslag en zelfgehoste AI-inference op NVIDIA RTX 6000-serie GPU's</w:t>
            </w:r>
          </w:p>
        </w:tc>
        <w:tc>
          <w:tcPr>
            <w:tcW w:type="dxa" w:w="3400"/>
            <w:vAlign w:val="top"/>
          </w:tcPr>
          <w:p>
            <w:pPr>
              <w:spacing w:after="0"/>
            </w:pPr>
            <w:r/>
            <w:r>
              <w:rPr>
                <w:rFonts w:ascii="Liberation Sans" w:hAnsi="Liberation Sans"/>
                <w:b w:val="0"/>
                <w:color w:val="1A1008"/>
                <w:sz w:val="16"/>
              </w:rPr>
              <w:t>Nederland</w:t>
            </w:r>
          </w:p>
        </w:tc>
      </w:tr>
      <w:tr>
        <w:tc>
          <w:tcPr>
            <w:tcW w:type="dxa" w:w="3400"/>
            <w:vAlign w:val="top"/>
            <w:shd w:fill="FBF8F2"/>
          </w:tcPr>
          <w:p>
            <w:pPr>
              <w:spacing w:after="0"/>
            </w:pPr>
            <w:r/>
            <w:r>
              <w:rPr>
                <w:rFonts w:ascii="Liberation Sans" w:hAnsi="Liberation Sans"/>
                <w:b w:val="0"/>
                <w:color w:val="1A1008"/>
                <w:sz w:val="16"/>
              </w:rPr>
              <w:t>Linkup Technologies SAS</w:t>
            </w:r>
          </w:p>
        </w:tc>
        <w:tc>
          <w:tcPr>
            <w:tcW w:type="dxa" w:w="3400"/>
            <w:vAlign w:val="top"/>
            <w:shd w:fill="FBF8F2"/>
          </w:tcPr>
          <w:p>
            <w:pPr>
              <w:spacing w:after="0"/>
            </w:pPr>
            <w:r/>
            <w:r>
              <w:rPr>
                <w:rFonts w:ascii="Liberation Sans" w:hAnsi="Liberation Sans"/>
                <w:b w:val="0"/>
                <w:color w:val="1A1008"/>
                <w:sz w:val="16"/>
              </w:rPr>
              <w:t>Webzoekopdrachten en optionele fetch</w:t>
            </w:r>
          </w:p>
        </w:tc>
        <w:tc>
          <w:tcPr>
            <w:tcW w:type="dxa" w:w="3400"/>
            <w:vAlign w:val="top"/>
            <w:shd w:fill="FBF8F2"/>
          </w:tcPr>
          <w:p>
            <w:pPr>
              <w:spacing w:after="0"/>
            </w:pPr>
            <w:r/>
            <w:r>
              <w:rPr>
                <w:rFonts w:ascii="Liberation Sans" w:hAnsi="Liberation Sans"/>
                <w:b w:val="0"/>
                <w:color w:val="1A1008"/>
                <w:sz w:val="16"/>
              </w:rPr>
              <w:t>EU volgens leveranciersdocumentatie; ZDR-capaciteit beschikbaar, contractuele instelling moet overeenkomen</w:t>
            </w:r>
          </w:p>
        </w:tc>
      </w:tr>
      <w:tr>
        <w:tc>
          <w:tcPr>
            <w:tcW w:type="dxa" w:w="3400"/>
            <w:vAlign w:val="top"/>
          </w:tcPr>
          <w:p>
            <w:pPr>
              <w:spacing w:after="0"/>
            </w:pPr>
            <w:r/>
            <w:r>
              <w:rPr>
                <w:rFonts w:ascii="Liberation Sans" w:hAnsi="Liberation Sans"/>
                <w:b w:val="0"/>
                <w:color w:val="1A1008"/>
                <w:sz w:val="16"/>
              </w:rPr>
              <w:t>Plus Five Five, Inc. / Resend</w:t>
            </w:r>
          </w:p>
        </w:tc>
        <w:tc>
          <w:tcPr>
            <w:tcW w:type="dxa" w:w="3400"/>
            <w:vAlign w:val="top"/>
          </w:tcPr>
          <w:p>
            <w:pPr>
              <w:spacing w:after="0"/>
            </w:pPr>
            <w:r/>
            <w:r>
              <w:rPr>
                <w:rFonts w:ascii="Liberation Sans" w:hAnsi="Liberation Sans"/>
                <w:b w:val="0"/>
                <w:color w:val="1A1008"/>
                <w:sz w:val="16"/>
              </w:rPr>
              <w:t>Transactionele e-mail</w:t>
            </w:r>
          </w:p>
        </w:tc>
        <w:tc>
          <w:tcPr>
            <w:tcW w:type="dxa" w:w="3400"/>
            <w:vAlign w:val="top"/>
          </w:tcPr>
          <w:p>
            <w:pPr>
              <w:spacing w:after="0"/>
            </w:pPr>
            <w:r/>
            <w:r>
              <w:rPr>
                <w:rFonts w:ascii="Liberation Sans" w:hAnsi="Liberation Sans"/>
                <w:b w:val="0"/>
                <w:color w:val="1A1008"/>
                <w:sz w:val="16"/>
              </w:rPr>
              <w:t>Verenigde Staten voor account-/berichtdata; doorgiftemechanismen volgens Resend DPA</w:t>
            </w:r>
          </w:p>
        </w:tc>
      </w:tr>
      <w:tr>
        <w:tc>
          <w:tcPr>
            <w:tcW w:type="dxa" w:w="3400"/>
            <w:vAlign w:val="top"/>
            <w:shd w:fill="FBF8F2"/>
          </w:tcPr>
          <w:p>
            <w:pPr>
              <w:spacing w:after="0"/>
            </w:pPr>
            <w:r/>
            <w:r>
              <w:rPr>
                <w:rFonts w:ascii="Liberation Sans" w:hAnsi="Liberation Sans"/>
                <w:b w:val="0"/>
                <w:color w:val="1A1008"/>
                <w:sz w:val="16"/>
              </w:rPr>
              <w:t>Stripe Payments Europe, Limited en Stripe-groep</w:t>
            </w:r>
          </w:p>
        </w:tc>
        <w:tc>
          <w:tcPr>
            <w:tcW w:type="dxa" w:w="3400"/>
            <w:vAlign w:val="top"/>
            <w:shd w:fill="FBF8F2"/>
          </w:tcPr>
          <w:p>
            <w:pPr>
              <w:spacing w:after="0"/>
            </w:pPr>
            <w:r/>
            <w:r>
              <w:rPr>
                <w:rFonts w:ascii="Liberation Sans" w:hAnsi="Liberation Sans"/>
                <w:b w:val="0"/>
                <w:color w:val="1A1008"/>
                <w:sz w:val="16"/>
              </w:rPr>
              <w:t>Betalingen, facturatie-/fraudeverwerking</w:t>
            </w:r>
          </w:p>
        </w:tc>
        <w:tc>
          <w:tcPr>
            <w:tcW w:type="dxa" w:w="3400"/>
            <w:vAlign w:val="top"/>
            <w:shd w:fill="FBF8F2"/>
          </w:tcPr>
          <w:p>
            <w:pPr>
              <w:spacing w:after="0"/>
            </w:pPr>
            <w:r/>
            <w:r>
              <w:rPr>
                <w:rFonts w:ascii="Liberation Sans" w:hAnsi="Liberation Sans"/>
                <w:b w:val="0"/>
                <w:color w:val="1A1008"/>
                <w:sz w:val="16"/>
              </w:rPr>
              <w:t>Ierland plus internationale Stripe-keten volgens Stripe DPA</w:t>
            </w:r>
          </w:p>
        </w:tc>
      </w:tr>
      <w:tr>
        <w:tc>
          <w:tcPr>
            <w:tcW w:type="dxa" w:w="3400"/>
            <w:vAlign w:val="top"/>
          </w:tcPr>
          <w:p>
            <w:pPr>
              <w:spacing w:after="0"/>
            </w:pPr>
            <w:r/>
            <w:r>
              <w:rPr>
                <w:rFonts w:ascii="Liberation Sans" w:hAnsi="Liberation Sans"/>
                <w:b w:val="0"/>
                <w:color w:val="1A1008"/>
                <w:sz w:val="16"/>
              </w:rPr>
              <w:t>Door klant gekozen connectorproviders</w:t>
            </w:r>
          </w:p>
        </w:tc>
        <w:tc>
          <w:tcPr>
            <w:tcW w:type="dxa" w:w="3400"/>
            <w:vAlign w:val="top"/>
          </w:tcPr>
          <w:p>
            <w:pPr>
              <w:spacing w:after="0"/>
            </w:pPr>
            <w:r/>
            <w:r>
              <w:rPr>
                <w:rFonts w:ascii="Liberation Sans" w:hAnsi="Liberation Sans"/>
                <w:b w:val="0"/>
                <w:color w:val="1A1008"/>
                <w:sz w:val="16"/>
              </w:rPr>
              <w:t>Brondienst voor bestanden, meetings, repositories of CRM</w:t>
            </w:r>
          </w:p>
        </w:tc>
        <w:tc>
          <w:tcPr>
            <w:tcW w:type="dxa" w:w="3400"/>
            <w:vAlign w:val="top"/>
          </w:tcPr>
          <w:p>
            <w:pPr>
              <w:spacing w:after="0"/>
            </w:pPr>
            <w:r/>
            <w:r>
              <w:rPr>
                <w:rFonts w:ascii="Liberation Sans" w:hAnsi="Liberation Sans"/>
                <w:b w:val="0"/>
                <w:color w:val="1A1008"/>
                <w:sz w:val="16"/>
              </w:rPr>
              <w:t>Volgens provideraccount en providercontract van klant/gebruiker</w:t>
            </w:r>
          </w:p>
        </w:tc>
      </w:tr>
    </w:tbl>
    <w:p/>
    <w:p>
      <w:pPr>
        <w:spacing w:after="100"/>
      </w:pPr>
      <w:r>
        <w:t>Een actuele, uitgebreidere lijst staat in het register Subverwerkers, integraties en datalocaties. Summa verkoopt persoonsgegevens niet en gebruikt chatinhoud niet voor advertentietargeting.</w:t>
      </w:r>
    </w:p>
    <w:p>
      <w:pPr>
        <w:pStyle w:val="Heading1"/>
      </w:pPr>
      <w:r>
        <w:t>7. Doorgifte buiten de EER</w:t>
      </w:r>
    </w:p>
    <w:p>
      <w:pPr>
        <w:spacing w:after="100"/>
      </w:pPr>
      <w:r>
        <w:t>Wanneer persoonsgegevens buiten de EER worden verwerkt, wordt per relatie een geldige doorgiftegrondslag vereist, bijvoorbeeld een adequaatheidsbesluit, het EU-US Data Privacy Framework waar van toepassing, of de door de Europese Commissie vastgestelde standaardcontractbepalingen met benodigde aanvullende maatregelen. Derde-landverwerking wordt niet verborgen achter de term 'EU-region'.</w:t>
      </w:r>
    </w:p>
    <w:p>
      <w:pPr>
        <w:spacing w:after="100"/>
      </w:pPr>
      <w:r>
        <w:t>Resend slaat volgens zijn actuele documentatie klant-/e-maildata in de Verenigde Staten op, ook wanneer verzending vanuit Ierland plaatsvindt. Daarom bevat Summa transactionele mails geen volledige chats, prompts of documenten. Stripe kan persoonsgegevens binnen zijn internationale groep verwerken zoals in de Stripe DPA beschreven.</w:t>
      </w:r>
    </w:p>
    <w:p>
      <w:pPr>
        <w:pStyle w:val="Heading1"/>
      </w:pPr>
      <w:r>
        <w:t>8. Bewaartermijnen</w:t>
      </w:r>
    </w:p>
    <w:tbl>
      <w:tblPr>
        <w:tblStyle w:val="TableGrid"/>
        <w:tblW w:type="auto" w:w="0"/>
        <w:jc w:val="left"/>
        <w:tblLook w:firstColumn="1" w:firstRow="1" w:lastColumn="0" w:lastRow="0" w:noHBand="0" w:noVBand="1" w:val="04A0"/>
      </w:tblPr>
      <w:tblGrid>
        <w:gridCol w:w="5100"/>
        <w:gridCol w:w="5100"/>
      </w:tblGrid>
      <w:tr>
        <w:tc>
          <w:tcPr>
            <w:tcW w:type="dxa" w:w="5100"/>
            <w:shd w:fill="3A5A78"/>
            <w:vAlign w:val="center"/>
          </w:tcPr>
          <w:p>
            <w:pPr>
              <w:spacing w:after="0"/>
            </w:pPr>
            <w:r/>
            <w:r>
              <w:rPr>
                <w:rFonts w:ascii="Liberation Sans" w:hAnsi="Liberation Sans"/>
                <w:b/>
                <w:color w:val="FFFFFF"/>
                <w:sz w:val="16"/>
              </w:rPr>
              <w:t>Gegevenscategorie</w:t>
            </w:r>
          </w:p>
        </w:tc>
        <w:tc>
          <w:tcPr>
            <w:tcW w:type="dxa" w:w="5100"/>
            <w:shd w:fill="3A5A78"/>
            <w:vAlign w:val="center"/>
          </w:tcPr>
          <w:p>
            <w:pPr>
              <w:spacing w:after="0"/>
            </w:pPr>
            <w:r/>
            <w:r>
              <w:rPr>
                <w:rFonts w:ascii="Liberation Sans" w:hAnsi="Liberation Sans"/>
                <w:b/>
                <w:color w:val="FFFFFF"/>
                <w:sz w:val="16"/>
              </w:rPr>
              <w:t>Standaardtermijn</w:t>
            </w:r>
          </w:p>
        </w:tc>
      </w:tr>
      <w:tr>
        <w:tc>
          <w:tcPr>
            <w:tcW w:type="dxa" w:w="5100"/>
            <w:vAlign w:val="top"/>
          </w:tcPr>
          <w:p>
            <w:pPr>
              <w:spacing w:after="0"/>
            </w:pPr>
            <w:r/>
            <w:r>
              <w:rPr>
                <w:rFonts w:ascii="Liberation Sans" w:hAnsi="Liberation Sans"/>
                <w:b w:val="0"/>
                <w:color w:val="1A1008"/>
                <w:sz w:val="16"/>
              </w:rPr>
              <w:t>Lopende wachtlijst</w:t>
            </w:r>
          </w:p>
        </w:tc>
        <w:tc>
          <w:tcPr>
            <w:tcW w:type="dxa" w:w="5100"/>
            <w:vAlign w:val="top"/>
          </w:tcPr>
          <w:p>
            <w:pPr>
              <w:spacing w:after="0"/>
            </w:pPr>
            <w:r/>
            <w:r>
              <w:rPr>
                <w:rFonts w:ascii="Liberation Sans" w:hAnsi="Liberation Sans"/>
                <w:b w:val="0"/>
                <w:color w:val="1A1008"/>
                <w:sz w:val="16"/>
              </w:rPr>
              <w:t>Tot 365 dagen na laatste relevante interactie</w:t>
            </w:r>
          </w:p>
        </w:tc>
      </w:tr>
      <w:tr>
        <w:tc>
          <w:tcPr>
            <w:tcW w:type="dxa" w:w="5100"/>
            <w:vAlign w:val="top"/>
            <w:shd w:fill="FBF8F2"/>
          </w:tcPr>
          <w:p>
            <w:pPr>
              <w:spacing w:after="0"/>
            </w:pPr>
            <w:r/>
            <w:r>
              <w:rPr>
                <w:rFonts w:ascii="Liberation Sans" w:hAnsi="Liberation Sans"/>
                <w:b w:val="0"/>
                <w:color w:val="1A1008"/>
                <w:sz w:val="16"/>
              </w:rPr>
              <w:t>Geweigerde/verlopen wachtlijst</w:t>
            </w:r>
          </w:p>
        </w:tc>
        <w:tc>
          <w:tcPr>
            <w:tcW w:type="dxa" w:w="5100"/>
            <w:vAlign w:val="top"/>
            <w:shd w:fill="FBF8F2"/>
          </w:tcPr>
          <w:p>
            <w:pPr>
              <w:spacing w:after="0"/>
            </w:pPr>
            <w:r/>
            <w:r>
              <w:rPr>
                <w:rFonts w:ascii="Liberation Sans" w:hAnsi="Liberation Sans"/>
                <w:b w:val="0"/>
                <w:color w:val="1A1008"/>
                <w:sz w:val="16"/>
              </w:rPr>
              <w:t>90 dagen</w:t>
            </w:r>
          </w:p>
        </w:tc>
      </w:tr>
      <w:tr>
        <w:tc>
          <w:tcPr>
            <w:tcW w:type="dxa" w:w="5100"/>
            <w:vAlign w:val="top"/>
          </w:tcPr>
          <w:p>
            <w:pPr>
              <w:spacing w:after="0"/>
            </w:pPr>
            <w:r/>
            <w:r>
              <w:rPr>
                <w:rFonts w:ascii="Liberation Sans" w:hAnsi="Liberation Sans"/>
                <w:b w:val="0"/>
                <w:color w:val="1A1008"/>
                <w:sz w:val="16"/>
              </w:rPr>
              <w:t>Omgezette wachtlijst</w:t>
            </w:r>
          </w:p>
        </w:tc>
        <w:tc>
          <w:tcPr>
            <w:tcW w:type="dxa" w:w="5100"/>
            <w:vAlign w:val="top"/>
          </w:tcPr>
          <w:p>
            <w:pPr>
              <w:spacing w:after="0"/>
            </w:pPr>
            <w:r/>
            <w:r>
              <w:rPr>
                <w:rFonts w:ascii="Liberation Sans" w:hAnsi="Liberation Sans"/>
                <w:b w:val="0"/>
                <w:color w:val="1A1008"/>
                <w:sz w:val="16"/>
              </w:rPr>
              <w:t>Binnen 30 dagen verwijderen/minimaliseren</w:t>
            </w:r>
          </w:p>
        </w:tc>
      </w:tr>
      <w:tr>
        <w:tc>
          <w:tcPr>
            <w:tcW w:type="dxa" w:w="5100"/>
            <w:vAlign w:val="top"/>
            <w:shd w:fill="FBF8F2"/>
          </w:tcPr>
          <w:p>
            <w:pPr>
              <w:spacing w:after="0"/>
            </w:pPr>
            <w:r/>
            <w:r>
              <w:rPr>
                <w:rFonts w:ascii="Liberation Sans" w:hAnsi="Liberation Sans"/>
                <w:b w:val="0"/>
                <w:color w:val="1A1008"/>
                <w:sz w:val="16"/>
              </w:rPr>
              <w:t>Gewone chatinhoud</w:t>
            </w:r>
          </w:p>
        </w:tc>
        <w:tc>
          <w:tcPr>
            <w:tcW w:type="dxa" w:w="5100"/>
            <w:vAlign w:val="top"/>
            <w:shd w:fill="FBF8F2"/>
          </w:tcPr>
          <w:p>
            <w:pPr>
              <w:spacing w:after="0"/>
            </w:pPr>
            <w:r/>
            <w:r>
              <w:rPr>
                <w:rFonts w:ascii="Liberation Sans" w:hAnsi="Liberation Sans"/>
                <w:b w:val="0"/>
                <w:color w:val="1A1008"/>
                <w:sz w:val="16"/>
              </w:rPr>
              <w:t>30 dagen standaard, tenzij eerder verwijderd of een zakelijk bewaarbeleid geldt</w:t>
            </w:r>
          </w:p>
        </w:tc>
      </w:tr>
      <w:tr>
        <w:tc>
          <w:tcPr>
            <w:tcW w:type="dxa" w:w="5100"/>
            <w:vAlign w:val="top"/>
          </w:tcPr>
          <w:p>
            <w:pPr>
              <w:spacing w:after="0"/>
            </w:pPr>
            <w:r/>
            <w:r>
              <w:rPr>
                <w:rFonts w:ascii="Liberation Sans" w:hAnsi="Liberation Sans"/>
                <w:b w:val="0"/>
                <w:color w:val="1A1008"/>
                <w:sz w:val="16"/>
              </w:rPr>
              <w:t>Tijdelijke chat</w:t>
            </w:r>
          </w:p>
        </w:tc>
        <w:tc>
          <w:tcPr>
            <w:tcW w:type="dxa" w:w="5100"/>
            <w:vAlign w:val="top"/>
          </w:tcPr>
          <w:p>
            <w:pPr>
              <w:spacing w:after="0"/>
            </w:pPr>
            <w:r/>
            <w:r>
              <w:rPr>
                <w:rFonts w:ascii="Liberation Sans" w:hAnsi="Liberation Sans"/>
                <w:b w:val="0"/>
                <w:color w:val="1A1008"/>
                <w:sz w:val="16"/>
              </w:rPr>
              <w:t>Tot sluiting en uiterlijk 24 uur na start; daarna snelle actieve verwijdering</w:t>
            </w:r>
          </w:p>
        </w:tc>
      </w:tr>
      <w:tr>
        <w:tc>
          <w:tcPr>
            <w:tcW w:type="dxa" w:w="5100"/>
            <w:vAlign w:val="top"/>
            <w:shd w:fill="FBF8F2"/>
          </w:tcPr>
          <w:p>
            <w:pPr>
              <w:spacing w:after="0"/>
            </w:pPr>
            <w:r/>
            <w:r>
              <w:rPr>
                <w:rFonts w:ascii="Liberation Sans" w:hAnsi="Liberation Sans"/>
                <w:b w:val="0"/>
                <w:color w:val="1A1008"/>
                <w:sz w:val="16"/>
              </w:rPr>
              <w:t>Projecten / bedrijfskennis</w:t>
            </w:r>
          </w:p>
        </w:tc>
        <w:tc>
          <w:tcPr>
            <w:tcW w:type="dxa" w:w="5100"/>
            <w:vAlign w:val="top"/>
            <w:shd w:fill="FBF8F2"/>
          </w:tcPr>
          <w:p>
            <w:pPr>
              <w:spacing w:after="0"/>
            </w:pPr>
            <w:r/>
            <w:r>
              <w:rPr>
                <w:rFonts w:ascii="Liberation Sans" w:hAnsi="Liberation Sans"/>
                <w:b w:val="0"/>
                <w:color w:val="1A1008"/>
                <w:sz w:val="16"/>
              </w:rPr>
              <w:t>Tot verwijdering, tenantbeëindiging of toepasselijk organisatiebeleid; niet louter op leeftijd weggeveegd</w:t>
            </w:r>
          </w:p>
        </w:tc>
      </w:tr>
      <w:tr>
        <w:tc>
          <w:tcPr>
            <w:tcW w:type="dxa" w:w="5100"/>
            <w:vAlign w:val="top"/>
          </w:tcPr>
          <w:p>
            <w:pPr>
              <w:spacing w:after="0"/>
            </w:pPr>
            <w:r/>
            <w:r>
              <w:rPr>
                <w:rFonts w:ascii="Liberation Sans" w:hAnsi="Liberation Sans"/>
                <w:b w:val="0"/>
                <w:color w:val="1A1008"/>
                <w:sz w:val="16"/>
              </w:rPr>
              <w:t>OAuth-/connectorcredentials</w:t>
            </w:r>
          </w:p>
        </w:tc>
        <w:tc>
          <w:tcPr>
            <w:tcW w:type="dxa" w:w="5100"/>
            <w:vAlign w:val="top"/>
          </w:tcPr>
          <w:p>
            <w:pPr>
              <w:spacing w:after="0"/>
            </w:pPr>
            <w:r/>
            <w:r>
              <w:rPr>
                <w:rFonts w:ascii="Liberation Sans" w:hAnsi="Liberation Sans"/>
                <w:b w:val="0"/>
                <w:color w:val="1A1008"/>
                <w:sz w:val="16"/>
              </w:rPr>
              <w:t>Tot ontkoppeling, accountwissing of intrekking</w:t>
            </w:r>
          </w:p>
        </w:tc>
      </w:tr>
      <w:tr>
        <w:tc>
          <w:tcPr>
            <w:tcW w:type="dxa" w:w="5100"/>
            <w:vAlign w:val="top"/>
            <w:shd w:fill="FBF8F2"/>
          </w:tcPr>
          <w:p>
            <w:pPr>
              <w:spacing w:after="0"/>
            </w:pPr>
            <w:r/>
            <w:r>
              <w:rPr>
                <w:rFonts w:ascii="Liberation Sans" w:hAnsi="Liberation Sans"/>
                <w:b w:val="0"/>
                <w:color w:val="1A1008"/>
                <w:sz w:val="16"/>
              </w:rPr>
              <w:t>Teams transcript/attendance/chat</w:t>
            </w:r>
          </w:p>
        </w:tc>
        <w:tc>
          <w:tcPr>
            <w:tcW w:type="dxa" w:w="5100"/>
            <w:vAlign w:val="top"/>
            <w:shd w:fill="FBF8F2"/>
          </w:tcPr>
          <w:p>
            <w:pPr>
              <w:spacing w:after="0"/>
            </w:pPr>
            <w:r/>
            <w:r>
              <w:rPr>
                <w:rFonts w:ascii="Liberation Sans" w:hAnsi="Liberation Sans"/>
                <w:b w:val="0"/>
                <w:color w:val="1A1008"/>
                <w:sz w:val="16"/>
              </w:rPr>
              <w:t>90 dagen voor ruwe vergaderdata; afgeleide notities volgen tenantretentie</w:t>
            </w:r>
          </w:p>
        </w:tc>
      </w:tr>
      <w:tr>
        <w:tc>
          <w:tcPr>
            <w:tcW w:type="dxa" w:w="5100"/>
            <w:vAlign w:val="top"/>
          </w:tcPr>
          <w:p>
            <w:pPr>
              <w:spacing w:after="0"/>
            </w:pPr>
            <w:r/>
            <w:r>
              <w:rPr>
                <w:rFonts w:ascii="Liberation Sans" w:hAnsi="Liberation Sans"/>
                <w:b w:val="0"/>
                <w:color w:val="1A1008"/>
                <w:sz w:val="16"/>
              </w:rPr>
              <w:t>Webanalytics ruwe events</w:t>
            </w:r>
          </w:p>
        </w:tc>
        <w:tc>
          <w:tcPr>
            <w:tcW w:type="dxa" w:w="5100"/>
            <w:vAlign w:val="top"/>
          </w:tcPr>
          <w:p>
            <w:pPr>
              <w:spacing w:after="0"/>
            </w:pPr>
            <w:r/>
            <w:r>
              <w:rPr>
                <w:rFonts w:ascii="Liberation Sans" w:hAnsi="Liberation Sans"/>
                <w:b w:val="0"/>
                <w:color w:val="1A1008"/>
                <w:sz w:val="16"/>
              </w:rPr>
              <w:t>90 dagen</w:t>
            </w:r>
          </w:p>
        </w:tc>
      </w:tr>
      <w:tr>
        <w:tc>
          <w:tcPr>
            <w:tcW w:type="dxa" w:w="5100"/>
            <w:vAlign w:val="top"/>
            <w:shd w:fill="FBF8F2"/>
          </w:tcPr>
          <w:p>
            <w:pPr>
              <w:spacing w:after="0"/>
            </w:pPr>
            <w:r/>
            <w:r>
              <w:rPr>
                <w:rFonts w:ascii="Liberation Sans" w:hAnsi="Liberation Sans"/>
                <w:b w:val="0"/>
                <w:color w:val="1A1008"/>
                <w:sz w:val="16"/>
              </w:rPr>
              <w:t>Gewone securitylogs</w:t>
            </w:r>
          </w:p>
        </w:tc>
        <w:tc>
          <w:tcPr>
            <w:tcW w:type="dxa" w:w="5100"/>
            <w:vAlign w:val="top"/>
            <w:shd w:fill="FBF8F2"/>
          </w:tcPr>
          <w:p>
            <w:pPr>
              <w:spacing w:after="0"/>
            </w:pPr>
            <w:r/>
            <w:r>
              <w:rPr>
                <w:rFonts w:ascii="Liberation Sans" w:hAnsi="Liberation Sans"/>
                <w:b w:val="0"/>
                <w:color w:val="1A1008"/>
                <w:sz w:val="16"/>
              </w:rPr>
              <w:t>Doeltermijn 90 dagen, tenzij incident/legal hold</w:t>
            </w:r>
          </w:p>
        </w:tc>
      </w:tr>
      <w:tr>
        <w:tc>
          <w:tcPr>
            <w:tcW w:type="dxa" w:w="5100"/>
            <w:vAlign w:val="top"/>
          </w:tcPr>
          <w:p>
            <w:pPr>
              <w:spacing w:after="0"/>
            </w:pPr>
            <w:r/>
            <w:r>
              <w:rPr>
                <w:rFonts w:ascii="Liberation Sans" w:hAnsi="Liberation Sans"/>
                <w:b w:val="0"/>
                <w:color w:val="1A1008"/>
                <w:sz w:val="16"/>
              </w:rPr>
              <w:t>Zakelijke auditrecords</w:t>
            </w:r>
          </w:p>
        </w:tc>
        <w:tc>
          <w:tcPr>
            <w:tcW w:type="dxa" w:w="5100"/>
            <w:vAlign w:val="top"/>
          </w:tcPr>
          <w:p>
            <w:pPr>
              <w:spacing w:after="0"/>
            </w:pPr>
            <w:r/>
            <w:r>
              <w:rPr>
                <w:rFonts w:ascii="Liberation Sans" w:hAnsi="Liberation Sans"/>
                <w:b w:val="0"/>
                <w:color w:val="1A1008"/>
                <w:sz w:val="16"/>
              </w:rPr>
              <w:t>Doeltermijn 12 maanden, tenzij overeengekomen of wettelijk langer nodig</w:t>
            </w:r>
          </w:p>
        </w:tc>
      </w:tr>
      <w:tr>
        <w:tc>
          <w:tcPr>
            <w:tcW w:type="dxa" w:w="5100"/>
            <w:vAlign w:val="top"/>
            <w:shd w:fill="FBF8F2"/>
          </w:tcPr>
          <w:p>
            <w:pPr>
              <w:spacing w:after="0"/>
            </w:pPr>
            <w:r/>
            <w:r>
              <w:rPr>
                <w:rFonts w:ascii="Liberation Sans" w:hAnsi="Liberation Sans"/>
                <w:b w:val="0"/>
                <w:color w:val="1A1008"/>
                <w:sz w:val="16"/>
              </w:rPr>
              <w:t>Contract-, DPA- en acceptatiebewijs</w:t>
            </w:r>
          </w:p>
        </w:tc>
        <w:tc>
          <w:tcPr>
            <w:tcW w:type="dxa" w:w="5100"/>
            <w:vAlign w:val="top"/>
            <w:shd w:fill="FBF8F2"/>
          </w:tcPr>
          <w:p>
            <w:pPr>
              <w:spacing w:after="0"/>
            </w:pPr>
            <w:r/>
            <w:r>
              <w:rPr>
                <w:rFonts w:ascii="Liberation Sans" w:hAnsi="Liberation Sans"/>
                <w:b w:val="0"/>
                <w:color w:val="1A1008"/>
                <w:sz w:val="16"/>
              </w:rPr>
              <w:t>Relatie plus maximaal 7 jaar waar bewijsbelang dit rechtvaardigt</w:t>
            </w:r>
          </w:p>
        </w:tc>
      </w:tr>
      <w:tr>
        <w:tc>
          <w:tcPr>
            <w:tcW w:type="dxa" w:w="5100"/>
            <w:vAlign w:val="top"/>
          </w:tcPr>
          <w:p>
            <w:pPr>
              <w:spacing w:after="0"/>
            </w:pPr>
            <w:r/>
            <w:r>
              <w:rPr>
                <w:rFonts w:ascii="Liberation Sans" w:hAnsi="Liberation Sans"/>
                <w:b w:val="0"/>
                <w:color w:val="1A1008"/>
                <w:sz w:val="16"/>
              </w:rPr>
              <w:t>Facturen/fiscale administratie</w:t>
            </w:r>
          </w:p>
        </w:tc>
        <w:tc>
          <w:tcPr>
            <w:tcW w:type="dxa" w:w="5100"/>
            <w:vAlign w:val="top"/>
          </w:tcPr>
          <w:p>
            <w:pPr>
              <w:spacing w:after="0"/>
            </w:pPr>
            <w:r/>
            <w:r>
              <w:rPr>
                <w:rFonts w:ascii="Liberation Sans" w:hAnsi="Liberation Sans"/>
                <w:b w:val="0"/>
                <w:color w:val="1A1008"/>
                <w:sz w:val="16"/>
              </w:rPr>
              <w:t>7 jaar of wettelijk vereiste termijn</w:t>
            </w:r>
          </w:p>
        </w:tc>
      </w:tr>
      <w:tr>
        <w:tc>
          <w:tcPr>
            <w:tcW w:type="dxa" w:w="5100"/>
            <w:vAlign w:val="top"/>
            <w:shd w:fill="FBF8F2"/>
          </w:tcPr>
          <w:p>
            <w:pPr>
              <w:spacing w:after="0"/>
            </w:pPr>
            <w:r/>
            <w:r>
              <w:rPr>
                <w:rFonts w:ascii="Liberation Sans" w:hAnsi="Liberation Sans"/>
                <w:b w:val="0"/>
                <w:color w:val="1A1008"/>
                <w:sz w:val="16"/>
              </w:rPr>
              <w:t>Supportdossiers</w:t>
            </w:r>
          </w:p>
        </w:tc>
        <w:tc>
          <w:tcPr>
            <w:tcW w:type="dxa" w:w="5100"/>
            <w:vAlign w:val="top"/>
            <w:shd w:fill="FBF8F2"/>
          </w:tcPr>
          <w:p>
            <w:pPr>
              <w:spacing w:after="0"/>
            </w:pPr>
            <w:r/>
            <w:r>
              <w:rPr>
                <w:rFonts w:ascii="Liberation Sans" w:hAnsi="Liberation Sans"/>
                <w:b w:val="0"/>
                <w:color w:val="1A1008"/>
                <w:sz w:val="16"/>
              </w:rPr>
              <w:t>2 jaar na afsluiting, tenzij langer nodig voor geschil</w:t>
            </w:r>
          </w:p>
        </w:tc>
      </w:tr>
      <w:tr>
        <w:tc>
          <w:tcPr>
            <w:tcW w:type="dxa" w:w="5100"/>
            <w:vAlign w:val="top"/>
          </w:tcPr>
          <w:p>
            <w:pPr>
              <w:spacing w:after="0"/>
            </w:pPr>
            <w:r/>
            <w:r>
              <w:rPr>
                <w:rFonts w:ascii="Liberation Sans" w:hAnsi="Liberation Sans"/>
                <w:b w:val="0"/>
                <w:color w:val="1A1008"/>
                <w:sz w:val="16"/>
              </w:rPr>
              <w:t>Incidentdossiers</w:t>
            </w:r>
          </w:p>
        </w:tc>
        <w:tc>
          <w:tcPr>
            <w:tcW w:type="dxa" w:w="5100"/>
            <w:vAlign w:val="top"/>
          </w:tcPr>
          <w:p>
            <w:pPr>
              <w:spacing w:after="0"/>
            </w:pPr>
            <w:r/>
            <w:r>
              <w:rPr>
                <w:rFonts w:ascii="Liberation Sans" w:hAnsi="Liberation Sans"/>
                <w:b w:val="0"/>
                <w:color w:val="1A1008"/>
                <w:sz w:val="16"/>
              </w:rPr>
              <w:t>5 jaar na afsluiting of langer bij wettelijke noodzaak</w:t>
            </w:r>
          </w:p>
        </w:tc>
      </w:tr>
    </w:tbl>
    <w:p/>
    <w:p>
      <w:pPr>
        <w:spacing w:after="100"/>
      </w:pPr>
      <w:r>
        <w:t>In de actuele deployment is geen off-cluster productiebackup actief. Er wordt daarom niet beweerd dat gewiste gegevens nog een vaste backupretentie hebben. Wanneer productiebackups worden geactiveerd, wordt de actuele backupcyclus vooraf in dit beleid en de verwerkersdocumentatie opgenomen.</w:t>
      </w:r>
    </w:p>
    <w:p>
      <w:pPr>
        <w:pStyle w:val="Heading1"/>
      </w:pPr>
      <w:r>
        <w:t>9. Verwijdering en gedeelde ruimten</w:t>
      </w:r>
    </w:p>
    <w:p>
      <w:pPr>
        <w:spacing w:after="100"/>
      </w:pPr>
      <w:r>
        <w:t>Een accountwisverzoek wordt door een duurzame workflow verwerkt over PostgreSQL, Redis, de identity-service en gekoppelde observabilitygegevens, met retry en een wisbewijs. In gedeelde ruimten kunnen bijdragen van een vertrekkende gebruiker niet altijd volledig worden verwijderd zonder de rechten en werkcontext van andere deelnemers te beschadigen. In dat geval wordt identiteit/attributie waar passend verwijderd of geredigeerd en blijft gedeelde inhoud onder verantwoordelijkheid van de eigenaar van de gedeelde ruimte bestaan.</w:t>
      </w:r>
    </w:p>
    <w:p>
      <w:pPr>
        <w:pStyle w:val="Heading1"/>
      </w:pPr>
      <w:r>
        <w:t>10. Rechten van betrokkenen</w:t>
      </w:r>
    </w:p>
    <w:p>
      <w:pPr>
        <w:spacing w:after="100"/>
      </w:pPr>
      <w:r>
        <w:t>Afhankelijk van de situatie bestaan rechten op inzage, rectificatie, verwijdering, beperking, overdraagbaarheid, bezwaar en rechten rond uitsluitend geautomatiseerde besluitvorming. Verzoeken kunnen naar privacy@summalabs.ai. Summa kan noodzakelijke identiteitsverificatie vragen en reageert binnen de wettelijke termijn.</w:t>
      </w:r>
    </w:p>
    <w:p>
      <w:pPr>
        <w:spacing w:after="100"/>
      </w:pPr>
      <w:r>
        <w:t>Voor persoonsgegevens waarvoor een zakelijke klant verwerkingsverantwoordelijke is, stuurt Summa het verzoek in beginsel door naar of ondersteunt het de klant. Voor eigen verwerkingen behandelt Summa het verzoek zelf.</w:t>
      </w:r>
    </w:p>
    <w:p>
      <w:pPr>
        <w:pStyle w:val="Heading1"/>
      </w:pPr>
      <w:r>
        <w:t>11. Beveiliging</w:t>
      </w:r>
    </w:p>
    <w:p>
      <w:pPr>
        <w:spacing w:after="100"/>
      </w:pPr>
      <w:r>
        <w:t>Summa gebruikt onder meer tenantafscherming, row-level security, TLS, versleuteling van aangewezen gevoelige velden, private databases/modelendpoints, Kubernetes-netwerkbeleid, malwarecontrole van uploads, secrets-management, CI-tests, dependency- en containerkwetsbaarheidsscans, Gitleaks en gecontroleerde verwijdering. Geen enkel beveiligingssysteem is absoluut; actuele beperkingen en assurance-status staan in de publieke security- en complianceverklaring.</w:t>
      </w:r>
    </w:p>
    <w:p>
      <w:pPr>
        <w:pStyle w:val="Heading1"/>
      </w:pPr>
      <w:r>
        <w:t>12. Cookies, lokale opslag en analytics</w:t>
      </w:r>
    </w:p>
    <w:p>
      <w:pPr>
        <w:spacing w:after="100"/>
      </w:pPr>
      <w:r>
        <w:t>Functionele opslag die nodig is voor authenticatie, beveiliging of gebruikersvoorkeuren kan worden gebruikt. Niet-noodzakelijke tracking of marketingtechnologie wordt alleen ingezet met een passende grondslag/toestemming. De huidige interne webanalyticsfunctie is ontworpen als first-party, cookieless analytics zonder IP-opslag of identifier die een dag overleeft. Een afzonderlijke cookie-/local-storage inventaris wordt technisch bijgehouden en bij materiële wijziging in deze privacy-informatie verwerkt.</w:t>
      </w:r>
    </w:p>
    <w:p>
      <w:pPr>
        <w:pStyle w:val="Heading1"/>
      </w:pPr>
      <w:r>
        <w:t>13. Klachten en toezichthouder</w:t>
      </w:r>
    </w:p>
    <w:p>
      <w:pPr>
        <w:spacing w:after="100"/>
      </w:pPr>
      <w:r>
        <w:t>Neem bij privacyvragen eerst contact op via privacy@summalabs.ai. Een betrokkene kan daarnaast een klacht indienen bij de Autoriteit Persoonsgegevens of, waar van toepassing, een andere bevoegde Europese toezichthouder.</w:t>
      </w:r>
    </w:p>
    <w:p>
      <w:pPr>
        <w:pStyle w:val="Heading1"/>
      </w:pPr>
      <w:r>
        <w:t>14. Wijzigingen</w:t>
      </w:r>
    </w:p>
    <w:p>
      <w:pPr>
        <w:spacing w:after="100"/>
      </w:pPr>
      <w:r>
        <w:t>Materiële wijzigingen in doelen, categorieën, belangrijke ontvangers, locaties of rechten worden transparant gecommuniceerd. Voor zakelijke verwerkingen die een nieuwe verwerkersinstructie vereisen, wordt zo nodig nieuwe contractuele aanvaarding gevraagd.</w:t>
      </w:r>
    </w:p>
    <w:p>
      <w:pPr>
        <w:pStyle w:val="Heading1"/>
      </w:pPr>
      <w:r>
        <w:t>15. Normenkader</w:t>
      </w:r>
    </w:p>
    <w:p>
      <w:pPr>
        <w:spacing w:after="100"/>
      </w:pPr>
      <w:r>
        <w:t>AVG (EU 2016/679), UAVG, relevante Nederlandse telecommunicatie-/cookievoorschriften, EU AI Act voor transparantie, EU Data Act voor data-processing services en toepasselijke consumentenwetgeving.</w:t>
      </w:r>
    </w:p>
    <w:sectPr w:rsidR="00FC693F" w:rsidRPr="0006063C" w:rsidSect="00034616">
      <w:headerReference w:type="default" r:id="rId9"/>
      <w:footerReference w:type="default" r:id="rId10"/>
      <w:pgSz w:w="12240" w:h="15840"/>
      <w:pgMar w:top="964" w:right="1020" w:bottom="964"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Liberation Sans" w:hAnsi="Liberation Sans"/>
        <w:color w:val="6E6257"/>
        <w:sz w:val="14"/>
      </w:rPr>
      <w:t xml:space="preserve">Privacyverklaring  •  v1.0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jc w:val="right"/>
    </w:pPr>
    <w:r>
      <w:rPr>
        <w:b/>
        <w:color w:val="3A5A78"/>
        <w:sz w:val="15"/>
      </w:rPr>
      <w:t>SUMMA  /  COMPLIANCE &amp; TRUST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0" w:line="259" w:lineRule="auto"/>
    </w:pPr>
    <w:rPr>
      <w:rFonts w:ascii="Liberation Sans" w:hAnsi="Liberation Sans"/>
      <w:color w:val="1A1008"/>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60" w:after="80"/>
      <w:outlineLvl w:val="0"/>
    </w:pPr>
    <w:rPr>
      <w:rFonts w:asciiTheme="majorHAnsi" w:eastAsiaTheme="majorEastAsia" w:hAnsiTheme="majorHAnsi" w:cstheme="majorBidi" w:ascii="Liberation Sans" w:hAnsi="Liberation Sans"/>
      <w:b/>
      <w:bCs/>
      <w:color w:val="3A5A78"/>
      <w:sz w:val="30"/>
      <w:szCs w:val="28"/>
    </w:rPr>
  </w:style>
  <w:style w:type="paragraph" w:styleId="Heading2">
    <w:name w:val="heading 2"/>
    <w:basedOn w:val="Normal"/>
    <w:next w:val="Normal"/>
    <w:link w:val="Heading2Char"/>
    <w:uiPriority w:val="9"/>
    <w:unhideWhenUsed/>
    <w:qFormat/>
    <w:rsid w:val="00FC693F"/>
    <w:pPr>
      <w:keepNext/>
      <w:keepLines/>
      <w:spacing w:before="160" w:after="80"/>
      <w:outlineLvl w:val="1"/>
    </w:pPr>
    <w:rPr>
      <w:rFonts w:asciiTheme="majorHAnsi" w:eastAsiaTheme="majorEastAsia" w:hAnsiTheme="majorHAnsi" w:cstheme="majorBidi" w:ascii="Liberation Sans" w:hAnsi="Liberation Sans"/>
      <w:b/>
      <w:bCs/>
      <w:color w:val="C8963E"/>
      <w:sz w:val="24"/>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Liberation Sans" w:hAnsi="Liberation Sans"/>
      <w:b/>
      <w:bCs/>
      <w:color w:val="3A5A78"/>
      <w:sz w:val="2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80" w:line="240" w:lineRule="auto" w:before="160"/>
      <w:contextualSpacing/>
    </w:pPr>
    <w:rPr>
      <w:rFonts w:asciiTheme="majorHAnsi" w:eastAsiaTheme="majorEastAsia" w:hAnsiTheme="majorHAnsi" w:cstheme="majorBidi" w:ascii="Liberation Sans" w:hAnsi="Liberation Sans"/>
      <w:b/>
      <w:color w:val="1A1008"/>
      <w:spacing w:val="5"/>
      <w:kern w:val="28"/>
      <w:sz w:val="48"/>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Summa</dc:creator>
  <cp:keywords/>
  <dc:description/>
  <cp:lastModifiedBy>Summa</cp:lastModifiedBy>
  <cp:revision>1</cp:revision>
  <dcterms:created xsi:type="dcterms:W3CDTF">2013-12-23T23:15:00Z</dcterms:created>
  <dcterms:modified xsi:type="dcterms:W3CDTF">2013-12-23T23:15:00Z</dcterms:modified>
  <cp:category/>
</cp:coreProperties>
</file>