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jc w:val="left"/>
      </w:pPr>
      <w:r>
        <w:t>Consumentenvoorwaarden</w:t>
      </w:r>
    </w:p>
    <w:tbl>
      <w:tblPr>
        <w:tblStyle w:val="TableGrid"/>
        <w:tblW w:type="auto" w:w="0"/>
        <w:jc w:val="left"/>
        <w:tblLook w:firstColumn="1" w:firstRow="1" w:lastColumn="0" w:lastRow="0" w:noHBand="0" w:noVBand="1" w:val="04A0"/>
      </w:tblPr>
      <w:tblGrid>
        <w:gridCol w:w="5100"/>
        <w:gridCol w:w="5100"/>
      </w:tblGrid>
      <w:tr>
        <w:tc>
          <w:tcPr>
            <w:tcW w:type="dxa" w:w="5100"/>
            <w:shd w:fill="F7F2E8"/>
          </w:tcPr>
          <w:p>
            <w:pPr>
              <w:spacing w:after="0"/>
            </w:pPr>
            <w:r/>
            <w:r>
              <w:rPr>
                <w:rFonts w:ascii="Liberation Sans" w:hAnsi="Liberation Sans"/>
                <w:b/>
                <w:color w:val="3A5A78"/>
                <w:sz w:val="17"/>
              </w:rPr>
              <w:t>Status</w:t>
            </w:r>
          </w:p>
        </w:tc>
        <w:tc>
          <w:tcPr>
            <w:tcW w:type="dxa" w:w="5100"/>
          </w:tcPr>
          <w:p>
            <w:pPr>
              <w:spacing w:after="0"/>
            </w:pPr>
            <w:r/>
            <w:r>
              <w:rPr>
                <w:rFonts w:ascii="Liberation Sans" w:hAnsi="Liberation Sans"/>
                <w:b w:val="0"/>
                <w:color w:val="1A1008"/>
                <w:sz w:val="17"/>
              </w:rPr>
              <w:t>Geldend leveranciersdocument</w:t>
            </w:r>
          </w:p>
        </w:tc>
      </w:tr>
      <w:tr>
        <w:tc>
          <w:tcPr>
            <w:tcW w:type="dxa" w:w="5100"/>
            <w:shd w:fill="F7F2E8"/>
          </w:tcPr>
          <w:p>
            <w:pPr>
              <w:spacing w:after="0"/>
            </w:pPr>
            <w:r/>
            <w:r>
              <w:rPr>
                <w:rFonts w:ascii="Liberation Sans" w:hAnsi="Liberation Sans"/>
                <w:b/>
                <w:color w:val="3A5A78"/>
                <w:sz w:val="17"/>
              </w:rPr>
              <w:t>Versie / uitgiftedatum</w:t>
            </w:r>
          </w:p>
        </w:tc>
        <w:tc>
          <w:tcPr>
            <w:tcW w:type="dxa" w:w="5100"/>
          </w:tcPr>
          <w:p>
            <w:pPr>
              <w:spacing w:after="0"/>
            </w:pPr>
            <w:r/>
            <w:r>
              <w:rPr>
                <w:rFonts w:ascii="Liberation Sans" w:hAnsi="Liberation Sans"/>
                <w:b w:val="0"/>
                <w:color w:val="1A1008"/>
                <w:sz w:val="17"/>
              </w:rPr>
              <w:t>1.0 / 28 augustus 2026</w:t>
            </w:r>
          </w:p>
        </w:tc>
      </w:tr>
      <w:tr>
        <w:tc>
          <w:tcPr>
            <w:tcW w:type="dxa" w:w="5100"/>
            <w:shd w:fill="F7F2E8"/>
          </w:tcPr>
          <w:p>
            <w:pPr>
              <w:spacing w:after="0"/>
            </w:pPr>
            <w:r/>
            <w:r>
              <w:rPr>
                <w:rFonts w:ascii="Liberation Sans" w:hAnsi="Liberation Sans"/>
                <w:b/>
                <w:color w:val="3A5A78"/>
                <w:sz w:val="17"/>
              </w:rPr>
              <w:t>Documenteigenaar</w:t>
            </w:r>
          </w:p>
        </w:tc>
        <w:tc>
          <w:tcPr>
            <w:tcW w:type="dxa" w:w="5100"/>
          </w:tcPr>
          <w:p>
            <w:pPr>
              <w:spacing w:after="0"/>
            </w:pPr>
            <w:r/>
            <w:r>
              <w:rPr>
                <w:rFonts w:ascii="Liberation Sans" w:hAnsi="Liberation Sans"/>
                <w:b w:val="0"/>
                <w:color w:val="1A1008"/>
                <w:sz w:val="17"/>
              </w:rPr>
              <w:t>Schmeitzke, handelend onder de namen Summa en Summa Labs</w:t>
            </w:r>
          </w:p>
        </w:tc>
      </w:tr>
      <w:tr>
        <w:tc>
          <w:tcPr>
            <w:tcW w:type="dxa" w:w="5100"/>
            <w:shd w:fill="F7F2E8"/>
          </w:tcPr>
          <w:p>
            <w:pPr>
              <w:spacing w:after="0"/>
            </w:pPr>
            <w:r/>
            <w:r>
              <w:rPr>
                <w:rFonts w:ascii="Liberation Sans" w:hAnsi="Liberation Sans"/>
                <w:b/>
                <w:color w:val="3A5A78"/>
                <w:sz w:val="17"/>
              </w:rPr>
              <w:t>Classificatie</w:t>
            </w:r>
          </w:p>
        </w:tc>
        <w:tc>
          <w:tcPr>
            <w:tcW w:type="dxa" w:w="5100"/>
          </w:tcPr>
          <w:p>
            <w:pPr>
              <w:spacing w:after="0"/>
            </w:pPr>
            <w:r/>
            <w:r>
              <w:rPr>
                <w:rFonts w:ascii="Liberation Sans" w:hAnsi="Liberation Sans"/>
                <w:b w:val="0"/>
                <w:color w:val="1A1008"/>
                <w:sz w:val="17"/>
              </w:rPr>
              <w:t>Publiek / contractueel</w:t>
            </w:r>
          </w:p>
        </w:tc>
      </w:tr>
    </w:tbl>
    <w:p/>
    <w:p>
      <w:pPr>
        <w:pStyle w:val="Heading1"/>
      </w:pPr>
      <w:r>
        <w:t>1. Wie levert Summa?</w:t>
      </w:r>
    </w:p>
    <w:p>
      <w:pPr>
        <w:spacing w:after="100"/>
      </w:pPr>
      <w:r>
        <w:t>Summa wordt geleverd door Schmeitzke, KVK 91878381, Sint Annadal 12-D, 6214 PA Maastricht, Nederland. Vragen over de dienst kunnen naar support@summalabs.ai en privacyvragen naar privacy@summalabs.ai.</w:t>
      </w:r>
    </w:p>
    <w:p>
      <w:pPr>
        <w:spacing w:after="100"/>
      </w:pPr>
      <w:r>
        <w:t>Deze voorwaarden gelden voor natuurlijke personen die Summa hoofdzakelijk buiten beroep of bedrijf gebruiken. Dwingende consumentenrechten blijven altijd gelden.</w:t>
      </w:r>
    </w:p>
    <w:p>
      <w:pPr>
        <w:pStyle w:val="Heading1"/>
      </w:pPr>
      <w:r>
        <w:t>2. De dienst</w:t>
      </w:r>
    </w:p>
    <w:p>
      <w:pPr>
        <w:spacing w:after="100"/>
      </w:pPr>
      <w:r>
        <w:t>Summa is een AI-assistent waarmee gebruikers gesprekken voeren, bestanden verwerken en, afhankelijk van beschikbaarheid, tools en aanvullende functies gebruiken. AI-antwoorden worden automatisch gegenereerd en kunnen fouten bevatten. De gebruiker controleert belangrijke informatie voordat daarop wordt vertrouwd of actie wordt ondernomen.</w:t>
      </w:r>
    </w:p>
    <w:p>
      <w:pPr>
        <w:spacing w:after="100"/>
      </w:pPr>
      <w:r>
        <w:t>Summa mag functionaliteit verbeteren of wijzigen. Een materiële wijziging die de betaalde kernprestatie wezenlijk vermindert wordt vooraf duidelijk meegedeeld en geeft de consument de rechten die de wet bij digitale diensten voorschrijft.</w:t>
      </w:r>
    </w:p>
    <w:p>
      <w:pPr>
        <w:pStyle w:val="Heading1"/>
      </w:pPr>
      <w:r>
        <w:t>3. Account en leeftijd</w:t>
      </w:r>
    </w:p>
    <w:p>
      <w:pPr>
        <w:spacing w:after="100"/>
      </w:pPr>
      <w:r>
        <w:t>De persoonlijke dienst is bedoeld voor personen van 16 jaar en ouder. Een gebruiker verstrekt juiste accountgegevens, beveiligt zijn account en deelt authenticatiegeheimen niet. Misbruik of onbevoegde toegang moet direct aan security@summalabs.ai worden gemeld.</w:t>
      </w:r>
    </w:p>
    <w:p>
      <w:pPr>
        <w:pStyle w:val="Heading1"/>
      </w:pPr>
      <w:r>
        <w:t>4. Wat de gebruiker mag invoeren</w:t>
      </w:r>
    </w:p>
    <w:p>
      <w:pPr>
        <w:spacing w:after="100"/>
      </w:pPr>
      <w:r>
        <w:t>De gebruiker moet bevoegd zijn om ingevoerde tekst, bestanden en andere gegevens te gebruiken. Voer geen onnodige bijzondere persoonsgegevens, wachtwoorden, volledige betaalkaartgegevens of vertrouwelijke gegevens van derden in wanneer daarvoor geen rechtmatige reden bestaat.</w:t>
      </w:r>
    </w:p>
    <w:p>
      <w:pPr>
        <w:spacing w:after="100"/>
      </w:pPr>
      <w:r>
        <w:t>Het aparte Gebruiksbeleid en AI-beperkingen maakt onderdeel uit van deze voorwaarden.</w:t>
      </w:r>
    </w:p>
    <w:p>
      <w:pPr>
        <w:pStyle w:val="Heading1"/>
      </w:pPr>
      <w:r>
        <w:t>5. AI-output</w:t>
      </w:r>
    </w:p>
    <w:p>
      <w:pPr>
        <w:spacing w:after="100"/>
      </w:pPr>
      <w:r>
        <w:t>AI-output is geen garantie op waarheid, deskundig advies of een bepaalde uitkomst. Summa vervangt geen arts, advocaat, financieel adviseur, bevoegde overheidsfunctionaris of andere professionele beslisser. Gebruik output niet als enige basis voor een beslissing met belangrijke juridische, financiële, medische of vergelijkbare gevolgen.</w:t>
      </w:r>
    </w:p>
    <w:p>
      <w:pPr>
        <w:spacing w:after="100"/>
      </w:pPr>
      <w:r>
        <w:t>De gebruiker mag output gebruiken voor rechtmatige doeleinden. AI-output kan niet uniek zijn en kan elementen bevatten waarop geen exclusieve rechten ontstaan. Summa geeft geen garantie dat iedere output auteursrechtelijk beschermbaar of vrij van rechten van derden is.</w:t>
      </w:r>
    </w:p>
    <w:p>
      <w:pPr>
        <w:pStyle w:val="Heading1"/>
      </w:pPr>
      <w:r>
        <w:t>6. Abonnementen en betaling</w:t>
      </w:r>
    </w:p>
    <w:p>
      <w:pPr>
        <w:spacing w:after="100"/>
      </w:pPr>
      <w:r>
        <w:t>Wanneer betaalde consumentenabonnementen beschikbaar zijn, wordt vóór aankoop duidelijk getoond: prijs inclusief btw, betaalperiode, kernfunctionaliteit, eventuele gebruikslimieten en de wijze van opzegging. Er worden geen verborgen token- of overagekosten berekend die niet vóór gebruik duidelijk zijn overeengekomen.</w:t>
      </w:r>
    </w:p>
    <w:p>
      <w:pPr>
        <w:spacing w:after="100"/>
      </w:pPr>
      <w:r>
        <w:t>Een periodiek consumentenabonnement kan vanuit de accountomgeving of via support worden opgezegd. Opzegging voorkomt een volgende verlenging; reeds betaalde toegang blijft in beginsel beschikbaar tot het einde van de lopende betaalperiode, tenzij de consument recht heeft op een eerdere beëindiging of terugbetaling.</w:t>
      </w:r>
    </w:p>
    <w:p>
      <w:pPr>
        <w:pStyle w:val="Heading1"/>
      </w:pPr>
      <w:r>
        <w:t>7. Wettelijke bedenktijd</w:t>
      </w:r>
    </w:p>
    <w:p>
      <w:pPr>
        <w:spacing w:after="100"/>
      </w:pPr>
      <w:r>
        <w:t>Bij een op afstand gesloten consumentenovereenkomst geldt in beginsel een wettelijke bedenktijd van 14 dagen vanaf het sluiten van de overeenkomst. Een consument kan binnen die termijn ondubbelzinnig herroepen via support@summalabs.ai.</w:t>
      </w:r>
    </w:p>
    <w:p>
      <w:pPr>
        <w:spacing w:after="100"/>
      </w:pPr>
      <w:r>
        <w:t>Wanneer de consument uitdrukkelijk vraagt dat de digitale dienst binnen de bedenktijd begint, kan bij herroeping een wettelijk toegestane evenredige vergoeding verschuldigd zijn voor reeds geleverde dienstverlening. Een wettelijk herroepingsrecht wordt alleen verloren voor zover de wet dat toelaat en nadat de vereiste uitdrukkelijke voorafgaande instemming en erkenning zijn verkregen. Een terugbetaling waarop de consument recht heeft wordt binnen de wettelijke termijn uitgevoerd via het oorspronkelijke betaalmiddel, tenzij anders overeengekomen.</w:t>
      </w:r>
    </w:p>
    <w:p>
      <w:pPr>
        <w:pStyle w:val="Heading1"/>
      </w:pPr>
      <w:r>
        <w:t>8. Beschikbaarheid en onderhoud</w:t>
      </w:r>
    </w:p>
    <w:p>
      <w:pPr>
        <w:spacing w:after="100"/>
      </w:pPr>
      <w:r>
        <w:t>Summa spant zich in de dienst beschikbaar en veilig te houden. Onderhoud, beveiligingsmaatregelen, storingen of afhankelijkheid van infrastructuur kunnen tijdelijk tot onderbreking leiden. Wanneer een betaalde digitale dienst niet aan de wettelijke conformiteitseisen voldoet, behoudt de consument zijn wettelijke remedies.</w:t>
      </w:r>
    </w:p>
    <w:p>
      <w:pPr>
        <w:pStyle w:val="Heading1"/>
      </w:pPr>
      <w:r>
        <w:t>9. Privacy en verwijdering</w:t>
      </w:r>
    </w:p>
    <w:p>
      <w:pPr>
        <w:spacing w:after="100"/>
      </w:pPr>
      <w:r>
        <w:t>De Privacyverklaring beschrijft persoonsgegevens, ontvangers, locaties, bewaartermijnen en rechten. De standaardretentie voor gewone chatinhoud is 30 dagen tenzij eerder verwijderd. Tijdelijke chat is maximaal 24 uur. De actuele dienst heeft geen off-cluster productiebackup; dat wordt niet als extra duurzaamheidsgarantie voorgesteld.</w:t>
      </w:r>
    </w:p>
    <w:p>
      <w:pPr>
        <w:pStyle w:val="Heading1"/>
      </w:pPr>
      <w:r>
        <w:t>10. Opschorting en beëindiging door Summa</w:t>
      </w:r>
    </w:p>
    <w:p>
      <w:pPr>
        <w:spacing w:after="100"/>
      </w:pPr>
      <w:r>
        <w:t>Summa kan toegang proportioneel beperken bij een ernstig beveiligingsrisico, fraude, onrechtmatig gebruik, schending van het Gebruiksbeleid of wanneer de wet dat vereist. Waar redelijk krijgt de gebruiker eerst uitleg en gelegenheid tot herstel. Bij urgente dreiging kan onmiddellijk worden ingegrepen.</w:t>
      </w:r>
    </w:p>
    <w:p>
      <w:pPr>
        <w:pStyle w:val="Heading1"/>
      </w:pPr>
      <w:r>
        <w:t>11. Aansprakelijkheid</w:t>
      </w:r>
    </w:p>
    <w:p>
      <w:pPr>
        <w:spacing w:after="100"/>
      </w:pPr>
      <w:r>
        <w:t>Niets in deze voorwaarden beperkt dwingende consumentenrechten of aansprakelijkheid die wettelijk niet kan worden uitgesloten. Voor zover de wet dit toelaat, is Summa niet aansprakelijk voor schade die uitsluitend ontstaat doordat een gebruiker AI-output zonder redelijke controle als gegarandeerd juist behandelt, of doordat de gebruiker verboden of kennelijk ongeschikt gebruik maakt van de dienst.</w:t>
      </w:r>
    </w:p>
    <w:p>
      <w:pPr>
        <w:pStyle w:val="Heading1"/>
      </w:pPr>
      <w:r>
        <w:t>12. Klachten</w:t>
      </w:r>
    </w:p>
    <w:p>
      <w:pPr>
        <w:spacing w:after="100"/>
      </w:pPr>
      <w:r>
        <w:t>Een klacht kan naar support@summalabs.ai. Summa bevestigt ontvangst en behandelt klachten binnen een redelijke termijn. Voor privacyklachten kan de gebruiker ook terecht bij de Autoriteit Persoonsgegevens. Wettelijke toegang tot bevoegde geschilbeslechting of rechter blijft bestaan.</w:t>
      </w:r>
    </w:p>
    <w:p>
      <w:pPr>
        <w:pStyle w:val="Heading1"/>
      </w:pPr>
      <w:r>
        <w:t>13. Wijzigingen</w:t>
      </w:r>
    </w:p>
    <w:p>
      <w:pPr>
        <w:spacing w:after="100"/>
      </w:pPr>
      <w:r>
        <w:t>Wijzigingen worden in begrijpelijke taal bekendgemaakt. Voor materiële nadelige wijzigingen in een betaalde doorlopende digitale dienst wordt een redelijke kennisgeving gegeven en worden wettelijke opzeggings- of andere consumentenrechten gerespecteerd.</w:t>
      </w:r>
    </w:p>
    <w:sectPr w:rsidR="00FC693F" w:rsidRPr="0006063C" w:rsidSect="00034616">
      <w:headerReference w:type="default" r:id="rId9"/>
      <w:footerReference w:type="default" r:id="rId10"/>
      <w:pgSz w:w="12240" w:h="15840"/>
      <w:pgMar w:top="964" w:right="1020" w:bottom="964"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Liberation Sans" w:hAnsi="Liberation Sans"/>
        <w:color w:val="6E6257"/>
        <w:sz w:val="14"/>
      </w:rPr>
      <w:t xml:space="preserve">Consumentenvoorwaarden  •  v1.0  •  </w:t>
    </w:r>
    <w: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right"/>
    </w:pPr>
    <w:r>
      <w:rPr>
        <w:b/>
        <w:color w:val="3A5A78"/>
        <w:sz w:val="15"/>
      </w:rPr>
      <w:t>SUMMA  /  COMPLIANCE &amp; TRUST</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00" w:line="259" w:lineRule="auto"/>
    </w:pPr>
    <w:rPr>
      <w:rFonts w:ascii="Liberation Sans" w:hAnsi="Liberation Sans"/>
      <w:color w:val="1A1008"/>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160" w:after="80"/>
      <w:outlineLvl w:val="0"/>
    </w:pPr>
    <w:rPr>
      <w:rFonts w:asciiTheme="majorHAnsi" w:eastAsiaTheme="majorEastAsia" w:hAnsiTheme="majorHAnsi" w:cstheme="majorBidi" w:ascii="Liberation Sans" w:hAnsi="Liberation Sans"/>
      <w:b/>
      <w:bCs/>
      <w:color w:val="3A5A78"/>
      <w:sz w:val="30"/>
      <w:szCs w:val="28"/>
    </w:rPr>
  </w:style>
  <w:style w:type="paragraph" w:styleId="Heading2">
    <w:name w:val="heading 2"/>
    <w:basedOn w:val="Normal"/>
    <w:next w:val="Normal"/>
    <w:link w:val="Heading2Char"/>
    <w:uiPriority w:val="9"/>
    <w:unhideWhenUsed/>
    <w:qFormat/>
    <w:rsid w:val="00FC693F"/>
    <w:pPr>
      <w:keepNext/>
      <w:keepLines/>
      <w:spacing w:before="160" w:after="80"/>
      <w:outlineLvl w:val="1"/>
    </w:pPr>
    <w:rPr>
      <w:rFonts w:asciiTheme="majorHAnsi" w:eastAsiaTheme="majorEastAsia" w:hAnsiTheme="majorHAnsi" w:cstheme="majorBidi" w:ascii="Liberation Sans" w:hAnsi="Liberation Sans"/>
      <w:b/>
      <w:bCs/>
      <w:color w:val="C8963E"/>
      <w:sz w:val="24"/>
      <w:szCs w:val="26"/>
    </w:rPr>
  </w:style>
  <w:style w:type="paragraph" w:styleId="Heading3">
    <w:name w:val="heading 3"/>
    <w:basedOn w:val="Normal"/>
    <w:next w:val="Normal"/>
    <w:link w:val="Heading3Char"/>
    <w:uiPriority w:val="9"/>
    <w:unhideWhenUsed/>
    <w:qFormat/>
    <w:rsid w:val="00FC693F"/>
    <w:pPr>
      <w:keepNext/>
      <w:keepLines/>
      <w:spacing w:before="160" w:after="80"/>
      <w:outlineLvl w:val="2"/>
    </w:pPr>
    <w:rPr>
      <w:rFonts w:asciiTheme="majorHAnsi" w:eastAsiaTheme="majorEastAsia" w:hAnsiTheme="majorHAnsi" w:cstheme="majorBidi" w:ascii="Liberation Sans" w:hAnsi="Liberation Sans"/>
      <w:b/>
      <w:bCs/>
      <w:color w:val="3A5A78"/>
      <w:sz w:val="2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80" w:line="240" w:lineRule="auto" w:before="160"/>
      <w:contextualSpacing/>
    </w:pPr>
    <w:rPr>
      <w:rFonts w:asciiTheme="majorHAnsi" w:eastAsiaTheme="majorEastAsia" w:hAnsiTheme="majorHAnsi" w:cstheme="majorBidi" w:ascii="Liberation Sans" w:hAnsi="Liberation Sans"/>
      <w:b/>
      <w:color w:val="1A1008"/>
      <w:spacing w:val="5"/>
      <w:kern w:val="28"/>
      <w:sz w:val="48"/>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Summa</dc:creator>
  <cp:keywords/>
  <dc:description/>
  <cp:lastModifiedBy>Summa</cp:lastModifiedBy>
  <cp:revision>1</cp:revision>
  <dcterms:created xsi:type="dcterms:W3CDTF">2013-12-23T23:15:00Z</dcterms:created>
  <dcterms:modified xsi:type="dcterms:W3CDTF">2013-12-23T23:15:00Z</dcterms:modified>
  <cp:category/>
</cp:coreProperties>
</file>