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Dienstbeschrijving, SLA en supportbeleid</w:t>
      </w:r>
    </w:p>
    <w:tbl>
      <w:tblPr>
        <w:tblStyle w:val="TableGrid"/>
        <w:tblW w:type="auto" w:w="0"/>
        <w:jc w:val="left"/>
        <w:tblLook w:firstColumn="1" w:firstRow="1" w:lastColumn="0" w:lastRow="0" w:noHBand="0" w:noVBand="1" w:val="04A0"/>
      </w:tblPr>
      <w:tblGrid>
        <w:gridCol w:w="5100"/>
        <w:gridCol w:w="5100"/>
      </w:tblGrid>
      <w:tr>
        <w:tc>
          <w:tcPr>
            <w:tcW w:type="dxa" w:w="5100"/>
            <w:shd w:fill="F7F2E8"/>
          </w:tcPr>
          <w:p>
            <w:pPr>
              <w:spacing w:after="0"/>
            </w:pPr>
            <w:r/>
            <w:r>
              <w:rPr>
                <w:rFonts w:ascii="Liberation Sans" w:hAnsi="Liberation Sans"/>
                <w:b/>
                <w:color w:val="3A5A78"/>
                <w:sz w:val="17"/>
              </w:rPr>
              <w:t>Status</w:t>
            </w:r>
          </w:p>
        </w:tc>
        <w:tc>
          <w:tcPr>
            <w:tcW w:type="dxa" w:w="5100"/>
          </w:tcPr>
          <w:p>
            <w:pPr>
              <w:spacing w:after="0"/>
            </w:pPr>
            <w:r/>
            <w:r>
              <w:rPr>
                <w:rFonts w:ascii="Liberation Sans" w:hAnsi="Liberation Sans"/>
                <w:b w:val="0"/>
                <w:color w:val="1A1008"/>
                <w:sz w:val="17"/>
              </w:rPr>
              <w:t>Geldend leveranciersdocument</w:t>
            </w:r>
          </w:p>
        </w:tc>
      </w:tr>
      <w:tr>
        <w:tc>
          <w:tcPr>
            <w:tcW w:type="dxa" w:w="5100"/>
            <w:shd w:fill="F7F2E8"/>
          </w:tcPr>
          <w:p>
            <w:pPr>
              <w:spacing w:after="0"/>
            </w:pPr>
            <w:r/>
            <w:r>
              <w:rPr>
                <w:rFonts w:ascii="Liberation Sans" w:hAnsi="Liberation Sans"/>
                <w:b/>
                <w:color w:val="3A5A78"/>
                <w:sz w:val="17"/>
              </w:rPr>
              <w:t>Versie / uitgiftedatum</w:t>
            </w:r>
          </w:p>
        </w:tc>
        <w:tc>
          <w:tcPr>
            <w:tcW w:type="dxa" w:w="5100"/>
          </w:tcPr>
          <w:p>
            <w:pPr>
              <w:spacing w:after="0"/>
            </w:pPr>
            <w:r/>
            <w:r>
              <w:rPr>
                <w:rFonts w:ascii="Liberation Sans" w:hAnsi="Liberation Sans"/>
                <w:b w:val="0"/>
                <w:color w:val="1A1008"/>
                <w:sz w:val="17"/>
              </w:rPr>
              <w:t>1.0 / 28 augustus 2026</w:t>
            </w:r>
          </w:p>
        </w:tc>
      </w:tr>
      <w:tr>
        <w:tc>
          <w:tcPr>
            <w:tcW w:type="dxa" w:w="5100"/>
            <w:shd w:fill="F7F2E8"/>
          </w:tcPr>
          <w:p>
            <w:pPr>
              <w:spacing w:after="0"/>
            </w:pPr>
            <w:r/>
            <w:r>
              <w:rPr>
                <w:rFonts w:ascii="Liberation Sans" w:hAnsi="Liberation Sans"/>
                <w:b/>
                <w:color w:val="3A5A78"/>
                <w:sz w:val="17"/>
              </w:rPr>
              <w:t>Documenteigenaar</w:t>
            </w:r>
          </w:p>
        </w:tc>
        <w:tc>
          <w:tcPr>
            <w:tcW w:type="dxa" w:w="5100"/>
          </w:tcPr>
          <w:p>
            <w:pPr>
              <w:spacing w:after="0"/>
            </w:pPr>
            <w:r/>
            <w:r>
              <w:rPr>
                <w:rFonts w:ascii="Liberation Sans" w:hAnsi="Liberation Sans"/>
                <w:b w:val="0"/>
                <w:color w:val="1A1008"/>
                <w:sz w:val="17"/>
              </w:rPr>
              <w:t>Schmeitzke, handelend onder de namen Summa en Summa Labs</w:t>
            </w:r>
          </w:p>
        </w:tc>
      </w:tr>
      <w:tr>
        <w:tc>
          <w:tcPr>
            <w:tcW w:type="dxa" w:w="5100"/>
            <w:shd w:fill="F7F2E8"/>
          </w:tcPr>
          <w:p>
            <w:pPr>
              <w:spacing w:after="0"/>
            </w:pPr>
            <w:r/>
            <w:r>
              <w:rPr>
                <w:rFonts w:ascii="Liberation Sans" w:hAnsi="Liberation Sans"/>
                <w:b/>
                <w:color w:val="3A5A78"/>
                <w:sz w:val="17"/>
              </w:rPr>
              <w:t>Classificatie</w:t>
            </w:r>
          </w:p>
        </w:tc>
        <w:tc>
          <w:tcPr>
            <w:tcW w:type="dxa" w:w="5100"/>
          </w:tcPr>
          <w:p>
            <w:pPr>
              <w:spacing w:after="0"/>
            </w:pPr>
            <w:r/>
            <w:r>
              <w:rPr>
                <w:rFonts w:ascii="Liberation Sans" w:hAnsi="Liberation Sans"/>
                <w:b w:val="0"/>
                <w:color w:val="1A1008"/>
                <w:sz w:val="17"/>
              </w:rPr>
              <w:t>Publiek / contractueel</w:t>
            </w:r>
          </w:p>
        </w:tc>
      </w:tr>
    </w:tbl>
    <w:p/>
    <w:p>
      <w:pPr>
        <w:pStyle w:val="Heading1"/>
      </w:pPr>
      <w:r>
        <w:t>1. Dienstscope</w:t>
      </w:r>
    </w:p>
    <w:p>
      <w:pPr>
        <w:spacing w:after="100"/>
      </w:pPr>
      <w:r>
        <w:t>Summa is een multi-tenant AI-werkruimte. De kernprestatie bestaat uit authenticatie, gesprekken, modelinference, bestanden, beschikbare tools, gebruikers-/tenantbeheer en export/verwijdering. Afhankelijk van geactiveerde functies omvat de dienst onder meer bedrijfskennis, SharePoint, Google Drive, OneDrive, Dropbox, repositorycontext, Teams-vergaderverwerking, Salesforce, webresearch, gegenereerde documenten/spreadsheets/presentaties, samenwerking en geïsoleerde Python-uitvoering.</w:t>
      </w:r>
    </w:p>
    <w:p>
      <w:pPr>
        <w:pStyle w:val="Heading1"/>
      </w:pPr>
      <w:r>
        <w:t>2. Serviceprofielen</w:t>
      </w:r>
    </w:p>
    <w:tbl>
      <w:tblPr>
        <w:tblStyle w:val="TableGrid"/>
        <w:tblW w:type="auto" w:w="0"/>
        <w:jc w:val="left"/>
        <w:tblLook w:firstColumn="1" w:firstRow="1" w:lastColumn="0" w:lastRow="0" w:noHBand="0" w:noVBand="1" w:val="04A0"/>
      </w:tblPr>
      <w:tblGrid>
        <w:gridCol w:w="3400"/>
        <w:gridCol w:w="3400"/>
        <w:gridCol w:w="3400"/>
      </w:tblGrid>
      <w:tr>
        <w:tc>
          <w:tcPr>
            <w:tcW w:type="dxa" w:w="3400"/>
            <w:shd w:fill="3A5A78"/>
            <w:vAlign w:val="center"/>
          </w:tcPr>
          <w:p>
            <w:pPr>
              <w:spacing w:after="0"/>
            </w:pPr>
            <w:r/>
            <w:r>
              <w:rPr>
                <w:rFonts w:ascii="Liberation Sans" w:hAnsi="Liberation Sans"/>
                <w:b/>
                <w:color w:val="FFFFFF"/>
                <w:sz w:val="16"/>
              </w:rPr>
              <w:t>Profiel</w:t>
            </w:r>
          </w:p>
        </w:tc>
        <w:tc>
          <w:tcPr>
            <w:tcW w:type="dxa" w:w="3400"/>
            <w:shd w:fill="3A5A78"/>
            <w:vAlign w:val="center"/>
          </w:tcPr>
          <w:p>
            <w:pPr>
              <w:spacing w:after="0"/>
            </w:pPr>
            <w:r/>
            <w:r>
              <w:rPr>
                <w:rFonts w:ascii="Liberation Sans" w:hAnsi="Liberation Sans"/>
                <w:b/>
                <w:color w:val="FFFFFF"/>
                <w:sz w:val="16"/>
              </w:rPr>
              <w:t>Gebruik</w:t>
            </w:r>
          </w:p>
        </w:tc>
        <w:tc>
          <w:tcPr>
            <w:tcW w:type="dxa" w:w="3400"/>
            <w:shd w:fill="3A5A78"/>
            <w:vAlign w:val="center"/>
          </w:tcPr>
          <w:p>
            <w:pPr>
              <w:spacing w:after="0"/>
            </w:pPr>
            <w:r/>
            <w:r>
              <w:rPr>
                <w:rFonts w:ascii="Liberation Sans" w:hAnsi="Liberation Sans"/>
                <w:b/>
                <w:color w:val="FFFFFF"/>
                <w:sz w:val="16"/>
              </w:rPr>
              <w:t>Beschikbaarheid</w:t>
            </w:r>
          </w:p>
        </w:tc>
      </w:tr>
      <w:tr>
        <w:tc>
          <w:tcPr>
            <w:tcW w:type="dxa" w:w="3400"/>
            <w:vAlign w:val="top"/>
          </w:tcPr>
          <w:p>
            <w:pPr>
              <w:spacing w:after="0"/>
            </w:pPr>
            <w:r/>
            <w:r>
              <w:rPr>
                <w:rFonts w:ascii="Liberation Sans" w:hAnsi="Liberation Sans"/>
                <w:b w:val="0"/>
                <w:color w:val="1A1008"/>
                <w:sz w:val="16"/>
              </w:rPr>
              <w:t>Pilot / bèta</w:t>
            </w:r>
          </w:p>
        </w:tc>
        <w:tc>
          <w:tcPr>
            <w:tcW w:type="dxa" w:w="3400"/>
            <w:vAlign w:val="top"/>
          </w:tcPr>
          <w:p>
            <w:pPr>
              <w:spacing w:after="0"/>
            </w:pPr>
            <w:r/>
            <w:r>
              <w:rPr>
                <w:rFonts w:ascii="Liberation Sans" w:hAnsi="Liberation Sans"/>
                <w:b w:val="0"/>
                <w:color w:val="1A1008"/>
                <w:sz w:val="16"/>
              </w:rPr>
              <w:t>Evaluatie, design partner, gecontroleerde introductie</w:t>
            </w:r>
          </w:p>
        </w:tc>
        <w:tc>
          <w:tcPr>
            <w:tcW w:type="dxa" w:w="3400"/>
            <w:vAlign w:val="top"/>
          </w:tcPr>
          <w:p>
            <w:pPr>
              <w:spacing w:after="0"/>
            </w:pPr>
            <w:r/>
            <w:r>
              <w:rPr>
                <w:rFonts w:ascii="Liberation Sans" w:hAnsi="Liberation Sans"/>
                <w:b w:val="0"/>
                <w:color w:val="1A1008"/>
                <w:sz w:val="16"/>
              </w:rPr>
              <w:t>Best effort; geen contractuele uptimegarantie tenzij de nadere overeenkomst anders bepaalt</w:t>
            </w:r>
          </w:p>
        </w:tc>
      </w:tr>
      <w:tr>
        <w:tc>
          <w:tcPr>
            <w:tcW w:type="dxa" w:w="3400"/>
            <w:vAlign w:val="top"/>
            <w:shd w:fill="FBF8F2"/>
          </w:tcPr>
          <w:p>
            <w:pPr>
              <w:spacing w:after="0"/>
            </w:pPr>
            <w:r/>
            <w:r>
              <w:rPr>
                <w:rFonts w:ascii="Liberation Sans" w:hAnsi="Liberation Sans"/>
                <w:b w:val="0"/>
                <w:color w:val="1A1008"/>
                <w:sz w:val="16"/>
              </w:rPr>
              <w:t>Productie Standaard</w:t>
            </w:r>
          </w:p>
        </w:tc>
        <w:tc>
          <w:tcPr>
            <w:tcW w:type="dxa" w:w="3400"/>
            <w:vAlign w:val="top"/>
            <w:shd w:fill="FBF8F2"/>
          </w:tcPr>
          <w:p>
            <w:pPr>
              <w:spacing w:after="0"/>
            </w:pPr>
            <w:r/>
            <w:r>
              <w:rPr>
                <w:rFonts w:ascii="Liberation Sans" w:hAnsi="Liberation Sans"/>
                <w:b w:val="0"/>
                <w:color w:val="1A1008"/>
                <w:sz w:val="16"/>
              </w:rPr>
              <w:t>Reguliere zakelijke SaaS nadat productie-releasegate is gehaald</w:t>
            </w:r>
          </w:p>
        </w:tc>
        <w:tc>
          <w:tcPr>
            <w:tcW w:type="dxa" w:w="3400"/>
            <w:vAlign w:val="top"/>
            <w:shd w:fill="FBF8F2"/>
          </w:tcPr>
          <w:p>
            <w:pPr>
              <w:spacing w:after="0"/>
            </w:pPr>
            <w:r/>
            <w:r>
              <w:rPr>
                <w:rFonts w:ascii="Liberation Sans" w:hAnsi="Liberation Sans"/>
                <w:b w:val="0"/>
                <w:color w:val="1A1008"/>
                <w:sz w:val="16"/>
              </w:rPr>
              <w:t>98,0% per kalendermaand op werkdagen 09:00-17:00 CET/CEST, tenzij schriftelijk een ander servicelevel geldt</w:t>
            </w:r>
          </w:p>
        </w:tc>
      </w:tr>
    </w:tbl>
    <w:p/>
    <w:p>
      <w:pPr>
        <w:spacing w:after="100"/>
      </w:pPr>
      <w:r>
        <w:t>Een omgeving is alleen Productie Standaard wanneer Summa dit schriftelijk als zodanig heeft bevestigd. De aangetroffen release van 28 augustus 2026 heeft geen off-cluster backup en mag daarom niet als enige opslag voor bedrijfskritische informatie worden gebruikt.</w:t>
      </w:r>
    </w:p>
    <w:p>
      <w:pPr>
        <w:pStyle w:val="Heading1"/>
      </w:pPr>
      <w:r>
        <w:t>3. Meting beschikbaarheid</w:t>
      </w:r>
    </w:p>
    <w:p>
      <w:pPr>
        <w:spacing w:after="100"/>
      </w:pPr>
      <w:r>
        <w:t>Beschikbaarheid betekent dat een bevoegde gebruiker de kernchatdienst kan bereiken en een modelverzoek kan indienen. Geplande onderhoudsvensters die minimaal vijf werkdagen vooraf zijn aangekondigd, overeengekomen klantonderbrekingen, storingen in klantnetwerk/identityprovider en aantoonbare overmacht tellen niet als Summa-downtime voor zover dat wettelijk en contractueel is toegestaan.</w:t>
      </w:r>
    </w:p>
    <w:p>
      <w:pPr>
        <w:spacing w:after="100"/>
      </w:pPr>
      <w:r>
        <w:t>Bij een GIBIT-overeenkomst wordt de in die overeenkomst gekozen meetmethode gevolgd. Als geen afwijkende servicelevels zijn overeengekomen, moet rekening worden gehouden met de standaardregeling van GIBIT 2025 artikel 37.</w:t>
      </w:r>
    </w:p>
    <w:p>
      <w:pPr>
        <w:pStyle w:val="Heading1"/>
      </w:pPr>
      <w:r>
        <w:t>4. Onderhoud</w:t>
      </w:r>
    </w:p>
    <w:p>
      <w:pPr>
        <w:pStyle w:val="ListBullet"/>
        <w:spacing w:after="40"/>
        <w:ind w:left="227"/>
      </w:pPr>
      <w:r>
        <w:t>Kritieke beveiligingspatches kunnen direct worden uitgerold wanneer uitstel een reëel risico oplevert; Summa informeert de klant zo snel als redelijk mogelijk.</w:t>
      </w:r>
    </w:p>
    <w:p>
      <w:pPr>
        <w:pStyle w:val="ListBullet"/>
        <w:spacing w:after="40"/>
        <w:ind w:left="227"/>
      </w:pPr>
      <w:r>
        <w:t>Niet-spoedeisend onderhoud met verwachte gebruikersimpact wordt bij voorkeur minimaal vijf werkdagen vooraf gemeld.</w:t>
      </w:r>
    </w:p>
    <w:p>
      <w:pPr>
        <w:pStyle w:val="ListBullet"/>
        <w:spacing w:after="40"/>
        <w:ind w:left="227"/>
      </w:pPr>
      <w:r>
        <w:t>Updates worden getest via CI, migratiechecks en relevante integratietests voordat productiepromotie plaatsvindt.</w:t>
      </w:r>
    </w:p>
    <w:p>
      <w:pPr>
        <w:pStyle w:val="ListBullet"/>
        <w:spacing w:after="40"/>
        <w:ind w:left="227"/>
      </w:pPr>
      <w:r>
        <w:t>Materiële model- of toolwijzigingen volgen het AI-/change-controlproces en worden voor gereguleerde klanten gedocumenteerd.</w:t>
      </w:r>
    </w:p>
    <w:p>
      <w:pPr>
        <w:pStyle w:val="Heading1"/>
      </w:pPr>
      <w:r>
        <w:t>5. Incidentprioriteiten en responstijden</w:t>
      </w:r>
    </w:p>
    <w:tbl>
      <w:tblPr>
        <w:tblStyle w:val="TableGrid"/>
        <w:tblW w:type="auto" w:w="0"/>
        <w:jc w:val="left"/>
        <w:tblLook w:firstColumn="1" w:firstRow="1" w:lastColumn="0" w:lastRow="0" w:noHBand="0" w:noVBand="1" w:val="04A0"/>
      </w:tblPr>
      <w:tblGrid>
        <w:gridCol w:w="2550"/>
        <w:gridCol w:w="2550"/>
        <w:gridCol w:w="2550"/>
        <w:gridCol w:w="2550"/>
      </w:tblGrid>
      <w:tr>
        <w:tc>
          <w:tcPr>
            <w:tcW w:type="dxa" w:w="2550"/>
            <w:shd w:fill="3A5A78"/>
            <w:vAlign w:val="center"/>
          </w:tcPr>
          <w:p>
            <w:pPr>
              <w:spacing w:after="0"/>
            </w:pPr>
            <w:r/>
            <w:r>
              <w:rPr>
                <w:rFonts w:ascii="Liberation Sans" w:hAnsi="Liberation Sans"/>
                <w:b/>
                <w:color w:val="FFFFFF"/>
                <w:sz w:val="16"/>
              </w:rPr>
              <w:t>Prioriteit</w:t>
            </w:r>
          </w:p>
        </w:tc>
        <w:tc>
          <w:tcPr>
            <w:tcW w:type="dxa" w:w="2550"/>
            <w:shd w:fill="3A5A78"/>
            <w:vAlign w:val="center"/>
          </w:tcPr>
          <w:p>
            <w:pPr>
              <w:spacing w:after="0"/>
            </w:pPr>
            <w:r/>
            <w:r>
              <w:rPr>
                <w:rFonts w:ascii="Liberation Sans" w:hAnsi="Liberation Sans"/>
                <w:b/>
                <w:color w:val="FFFFFF"/>
                <w:sz w:val="16"/>
              </w:rPr>
              <w:t>Omschrijving</w:t>
            </w:r>
          </w:p>
        </w:tc>
        <w:tc>
          <w:tcPr>
            <w:tcW w:type="dxa" w:w="2550"/>
            <w:shd w:fill="3A5A78"/>
            <w:vAlign w:val="center"/>
          </w:tcPr>
          <w:p>
            <w:pPr>
              <w:spacing w:after="0"/>
            </w:pPr>
            <w:r/>
            <w:r>
              <w:rPr>
                <w:rFonts w:ascii="Liberation Sans" w:hAnsi="Liberation Sans"/>
                <w:b/>
                <w:color w:val="FFFFFF"/>
                <w:sz w:val="16"/>
              </w:rPr>
              <w:t>Eerste menselijke reactie tijdens supportvenster</w:t>
            </w:r>
          </w:p>
        </w:tc>
        <w:tc>
          <w:tcPr>
            <w:tcW w:type="dxa" w:w="2550"/>
            <w:shd w:fill="3A5A78"/>
            <w:vAlign w:val="center"/>
          </w:tcPr>
          <w:p>
            <w:pPr>
              <w:spacing w:after="0"/>
            </w:pPr>
            <w:r/>
            <w:r>
              <w:rPr>
                <w:rFonts w:ascii="Liberation Sans" w:hAnsi="Liberation Sans"/>
                <w:b/>
                <w:color w:val="FFFFFF"/>
                <w:sz w:val="16"/>
              </w:rPr>
              <w:t>Doel updatecadans</w:t>
            </w:r>
          </w:p>
        </w:tc>
      </w:tr>
      <w:tr>
        <w:tc>
          <w:tcPr>
            <w:tcW w:type="dxa" w:w="2550"/>
            <w:vAlign w:val="top"/>
          </w:tcPr>
          <w:p>
            <w:pPr>
              <w:spacing w:after="0"/>
            </w:pPr>
            <w:r/>
            <w:r>
              <w:rPr>
                <w:rFonts w:ascii="Liberation Sans" w:hAnsi="Liberation Sans"/>
                <w:b w:val="0"/>
                <w:color w:val="1A1008"/>
                <w:sz w:val="16"/>
              </w:rPr>
              <w:t>P1 Kritiek</w:t>
            </w:r>
          </w:p>
        </w:tc>
        <w:tc>
          <w:tcPr>
            <w:tcW w:type="dxa" w:w="2550"/>
            <w:vAlign w:val="top"/>
          </w:tcPr>
          <w:p>
            <w:pPr>
              <w:spacing w:after="0"/>
            </w:pPr>
            <w:r/>
            <w:r>
              <w:rPr>
                <w:rFonts w:ascii="Liberation Sans" w:hAnsi="Liberation Sans"/>
                <w:b w:val="0"/>
                <w:color w:val="1A1008"/>
                <w:sz w:val="16"/>
              </w:rPr>
              <w:t>Grootschalige onbeschikbaarheid, bevestigde ernstige datalek/securityimpact, tenantoverschrijding</w:t>
            </w:r>
          </w:p>
        </w:tc>
        <w:tc>
          <w:tcPr>
            <w:tcW w:type="dxa" w:w="2550"/>
            <w:vAlign w:val="top"/>
          </w:tcPr>
          <w:p>
            <w:pPr>
              <w:spacing w:after="0"/>
            </w:pPr>
            <w:r/>
            <w:r>
              <w:rPr>
                <w:rFonts w:ascii="Liberation Sans" w:hAnsi="Liberation Sans"/>
                <w:b w:val="0"/>
                <w:color w:val="1A1008"/>
                <w:sz w:val="16"/>
              </w:rPr>
              <w:t>1 uur</w:t>
            </w:r>
          </w:p>
        </w:tc>
        <w:tc>
          <w:tcPr>
            <w:tcW w:type="dxa" w:w="2550"/>
            <w:vAlign w:val="top"/>
          </w:tcPr>
          <w:p>
            <w:pPr>
              <w:spacing w:after="0"/>
            </w:pPr>
            <w:r/>
            <w:r>
              <w:rPr>
                <w:rFonts w:ascii="Liberation Sans" w:hAnsi="Liberation Sans"/>
                <w:b w:val="0"/>
                <w:color w:val="1A1008"/>
                <w:sz w:val="16"/>
              </w:rPr>
              <w:t>Ten minste iedere 2 uur zolang actief</w:t>
            </w:r>
          </w:p>
        </w:tc>
      </w:tr>
      <w:tr>
        <w:tc>
          <w:tcPr>
            <w:tcW w:type="dxa" w:w="2550"/>
            <w:vAlign w:val="top"/>
            <w:shd w:fill="FBF8F2"/>
          </w:tcPr>
          <w:p>
            <w:pPr>
              <w:spacing w:after="0"/>
            </w:pPr>
            <w:r/>
            <w:r>
              <w:rPr>
                <w:rFonts w:ascii="Liberation Sans" w:hAnsi="Liberation Sans"/>
                <w:b w:val="0"/>
                <w:color w:val="1A1008"/>
                <w:sz w:val="16"/>
              </w:rPr>
              <w:t>P2 Hoog</w:t>
            </w:r>
          </w:p>
        </w:tc>
        <w:tc>
          <w:tcPr>
            <w:tcW w:type="dxa" w:w="2550"/>
            <w:vAlign w:val="top"/>
            <w:shd w:fill="FBF8F2"/>
          </w:tcPr>
          <w:p>
            <w:pPr>
              <w:spacing w:after="0"/>
            </w:pPr>
            <w:r/>
            <w:r>
              <w:rPr>
                <w:rFonts w:ascii="Liberation Sans" w:hAnsi="Liberation Sans"/>
                <w:b w:val="0"/>
                <w:color w:val="1A1008"/>
                <w:sz w:val="16"/>
              </w:rPr>
              <w:t>Belangrijke functie onbruikbaar voor meerdere gebruikers zonder redelijke workaround</w:t>
            </w:r>
          </w:p>
        </w:tc>
        <w:tc>
          <w:tcPr>
            <w:tcW w:type="dxa" w:w="2550"/>
            <w:vAlign w:val="top"/>
            <w:shd w:fill="FBF8F2"/>
          </w:tcPr>
          <w:p>
            <w:pPr>
              <w:spacing w:after="0"/>
            </w:pPr>
            <w:r/>
            <w:r>
              <w:rPr>
                <w:rFonts w:ascii="Liberation Sans" w:hAnsi="Liberation Sans"/>
                <w:b w:val="0"/>
                <w:color w:val="1A1008"/>
                <w:sz w:val="16"/>
              </w:rPr>
              <w:t>4 werkuren</w:t>
            </w:r>
          </w:p>
        </w:tc>
        <w:tc>
          <w:tcPr>
            <w:tcW w:type="dxa" w:w="2550"/>
            <w:vAlign w:val="top"/>
            <w:shd w:fill="FBF8F2"/>
          </w:tcPr>
          <w:p>
            <w:pPr>
              <w:spacing w:after="0"/>
            </w:pPr>
            <w:r/>
            <w:r>
              <w:rPr>
                <w:rFonts w:ascii="Liberation Sans" w:hAnsi="Liberation Sans"/>
                <w:b w:val="0"/>
                <w:color w:val="1A1008"/>
                <w:sz w:val="16"/>
              </w:rPr>
              <w:t>Dagelijks of bij materiële wijziging</w:t>
            </w:r>
          </w:p>
        </w:tc>
      </w:tr>
      <w:tr>
        <w:tc>
          <w:tcPr>
            <w:tcW w:type="dxa" w:w="2550"/>
            <w:vAlign w:val="top"/>
          </w:tcPr>
          <w:p>
            <w:pPr>
              <w:spacing w:after="0"/>
            </w:pPr>
            <w:r/>
            <w:r>
              <w:rPr>
                <w:rFonts w:ascii="Liberation Sans" w:hAnsi="Liberation Sans"/>
                <w:b w:val="0"/>
                <w:color w:val="1A1008"/>
                <w:sz w:val="16"/>
              </w:rPr>
              <w:t>P3 Normaal</w:t>
            </w:r>
          </w:p>
        </w:tc>
        <w:tc>
          <w:tcPr>
            <w:tcW w:type="dxa" w:w="2550"/>
            <w:vAlign w:val="top"/>
          </w:tcPr>
          <w:p>
            <w:pPr>
              <w:spacing w:after="0"/>
            </w:pPr>
            <w:r/>
            <w:r>
              <w:rPr>
                <w:rFonts w:ascii="Liberation Sans" w:hAnsi="Liberation Sans"/>
                <w:b w:val="0"/>
                <w:color w:val="1A1008"/>
                <w:sz w:val="16"/>
              </w:rPr>
              <w:t>Beperkte fout met workaround / individuele support</w:t>
            </w:r>
          </w:p>
        </w:tc>
        <w:tc>
          <w:tcPr>
            <w:tcW w:type="dxa" w:w="2550"/>
            <w:vAlign w:val="top"/>
          </w:tcPr>
          <w:p>
            <w:pPr>
              <w:spacing w:after="0"/>
            </w:pPr>
            <w:r/>
            <w:r>
              <w:rPr>
                <w:rFonts w:ascii="Liberation Sans" w:hAnsi="Liberation Sans"/>
                <w:b w:val="0"/>
                <w:color w:val="1A1008"/>
                <w:sz w:val="16"/>
              </w:rPr>
              <w:t>1 werkdag</w:t>
            </w:r>
          </w:p>
        </w:tc>
        <w:tc>
          <w:tcPr>
            <w:tcW w:type="dxa" w:w="2550"/>
            <w:vAlign w:val="top"/>
          </w:tcPr>
          <w:p>
            <w:pPr>
              <w:spacing w:after="0"/>
            </w:pPr>
            <w:r/>
            <w:r>
              <w:rPr>
                <w:rFonts w:ascii="Liberation Sans" w:hAnsi="Liberation Sans"/>
                <w:b w:val="0"/>
                <w:color w:val="1A1008"/>
                <w:sz w:val="16"/>
              </w:rPr>
              <w:t>Naar voortgang</w:t>
            </w:r>
          </w:p>
        </w:tc>
      </w:tr>
      <w:tr>
        <w:tc>
          <w:tcPr>
            <w:tcW w:type="dxa" w:w="2550"/>
            <w:vAlign w:val="top"/>
            <w:shd w:fill="FBF8F2"/>
          </w:tcPr>
          <w:p>
            <w:pPr>
              <w:spacing w:after="0"/>
            </w:pPr>
            <w:r/>
            <w:r>
              <w:rPr>
                <w:rFonts w:ascii="Liberation Sans" w:hAnsi="Liberation Sans"/>
                <w:b w:val="0"/>
                <w:color w:val="1A1008"/>
                <w:sz w:val="16"/>
              </w:rPr>
              <w:t>P4 Vraag</w:t>
            </w:r>
          </w:p>
        </w:tc>
        <w:tc>
          <w:tcPr>
            <w:tcW w:type="dxa" w:w="2550"/>
            <w:vAlign w:val="top"/>
            <w:shd w:fill="FBF8F2"/>
          </w:tcPr>
          <w:p>
            <w:pPr>
              <w:spacing w:after="0"/>
            </w:pPr>
            <w:r/>
            <w:r>
              <w:rPr>
                <w:rFonts w:ascii="Liberation Sans" w:hAnsi="Liberation Sans"/>
                <w:b w:val="0"/>
                <w:color w:val="1A1008"/>
                <w:sz w:val="16"/>
              </w:rPr>
              <w:t>Informatieverzoek, featurevraag, niet-urgente administratie</w:t>
            </w:r>
          </w:p>
        </w:tc>
        <w:tc>
          <w:tcPr>
            <w:tcW w:type="dxa" w:w="2550"/>
            <w:vAlign w:val="top"/>
            <w:shd w:fill="FBF8F2"/>
          </w:tcPr>
          <w:p>
            <w:pPr>
              <w:spacing w:after="0"/>
            </w:pPr>
            <w:r/>
            <w:r>
              <w:rPr>
                <w:rFonts w:ascii="Liberation Sans" w:hAnsi="Liberation Sans"/>
                <w:b w:val="0"/>
                <w:color w:val="1A1008"/>
                <w:sz w:val="16"/>
              </w:rPr>
              <w:t>2 werkdagen</w:t>
            </w:r>
          </w:p>
        </w:tc>
        <w:tc>
          <w:tcPr>
            <w:tcW w:type="dxa" w:w="2550"/>
            <w:vAlign w:val="top"/>
            <w:shd w:fill="FBF8F2"/>
          </w:tcPr>
          <w:p>
            <w:pPr>
              <w:spacing w:after="0"/>
            </w:pPr>
            <w:r/>
            <w:r>
              <w:rPr>
                <w:rFonts w:ascii="Liberation Sans" w:hAnsi="Liberation Sans"/>
                <w:b w:val="0"/>
                <w:color w:val="1A1008"/>
                <w:sz w:val="16"/>
              </w:rPr>
              <w:t>Naar noodzaak</w:t>
            </w:r>
          </w:p>
        </w:tc>
      </w:tr>
    </w:tbl>
    <w:p/>
    <w:p>
      <w:pPr>
        <w:spacing w:after="100"/>
      </w:pPr>
      <w:r>
        <w:t>Supportvenster is maandag tot en met vrijdag 09:00-17:00 Nederlandse tijd, uitgezonderd Nederlandse nationale feestdagen. Securitymeldingen naar security@summalabs.ai mogen altijd worden ingediend en worden buiten het supportvenster op basis van ernst opgepakt.</w:t>
      </w:r>
    </w:p>
    <w:p>
      <w:pPr>
        <w:pStyle w:val="Heading1"/>
      </w:pPr>
      <w:r>
        <w:t>6. Hersteldoelen en backupstatus</w:t>
      </w:r>
    </w:p>
    <w:tbl>
      <w:tblPr>
        <w:tblStyle w:val="TableGrid"/>
        <w:tblW w:type="auto" w:w="0"/>
        <w:tblLook w:firstColumn="1" w:firstRow="1" w:lastColumn="0" w:lastRow="0" w:noHBand="0" w:noVBand="1" w:val="04A0"/>
      </w:tblPr>
      <w:tblGrid>
        <w:gridCol w:w="10200"/>
      </w:tblGrid>
      <w:tr>
        <w:tc>
          <w:tcPr>
            <w:tcW w:type="dxa" w:w="10200"/>
            <w:shd w:fill="F8EDE8"/>
          </w:tcPr>
          <w:p>
            <w:pPr>
              <w:spacing w:after="0"/>
            </w:pPr>
            <w:r/>
            <w:r>
              <w:rPr>
                <w:rFonts w:ascii="Liberation Sans" w:hAnsi="Liberation Sans"/>
                <w:b/>
                <w:color w:val="9B2C2C"/>
                <w:sz w:val="18"/>
              </w:rPr>
              <w:t>In de actuele deployment is geen off-cluster backup actief. Daarom worden op dit moment geen contractuele RPO of RTO voor dataverlies afgegeven. Productie Standaard met bedrijfskritische of archiefwaardige data vereist eerst een operationele, versleutelde off-cluster backup, een succesvolle hersteltest en schriftelijk vastgelegde RPO/RTO.</w:t>
            </w:r>
          </w:p>
        </w:tc>
      </w:tr>
    </w:tbl>
    <w:p/>
    <w:p>
      <w:pPr>
        <w:spacing w:after="100"/>
      </w:pPr>
      <w:r>
        <w:t>Het technische doel na activering is minimaal dagelijkse backup met een RPO van maximaal 24 uur en een gevalideerd herstelproces. Een concreet RTO wordt pas als garantie gepubliceerd nadat een realistische hersteltest dit heeft bewezen.</w:t>
      </w:r>
    </w:p>
    <w:p>
      <w:pPr>
        <w:pStyle w:val="Heading1"/>
      </w:pPr>
      <w:r>
        <w:t>7. Capaciteit en inference</w:t>
      </w:r>
    </w:p>
    <w:p>
      <w:pPr>
        <w:spacing w:after="100"/>
      </w:pPr>
      <w:r>
        <w:t>De backend past quota, concurrency- en outputlimieten toe. De actieve inferenceomgeving draait op Leafcloud GPU-instances uit de NVIDIA RTX 6000-serie. Summa monitort GPU-/modelbeschikbaarheid, applicatiegezondheid en capaciteit. Voor productie moet voldoende redundante capaciteit beschikbaar zijn om het overeengekomen gebruik redelijkerwijs te ondersteunen; geplande schaalveranderingen worden niet als servicegarantie voorgesteld zonder meting.</w:t>
      </w:r>
    </w:p>
    <w:p>
      <w:pPr>
        <w:pStyle w:val="Heading1"/>
      </w:pPr>
      <w:r>
        <w:t>8. Supportkanalen</w:t>
      </w:r>
    </w:p>
    <w:tbl>
      <w:tblPr>
        <w:tblStyle w:val="TableGrid"/>
        <w:tblW w:type="auto" w:w="0"/>
        <w:jc w:val="left"/>
        <w:tblLook w:firstColumn="1" w:firstRow="1" w:lastColumn="0" w:lastRow="0" w:noHBand="0" w:noVBand="1" w:val="04A0"/>
      </w:tblPr>
      <w:tblGrid>
        <w:gridCol w:w="5100"/>
        <w:gridCol w:w="5100"/>
      </w:tblGrid>
      <w:tr>
        <w:tc>
          <w:tcPr>
            <w:tcW w:type="dxa" w:w="5100"/>
            <w:shd w:fill="3A5A78"/>
            <w:vAlign w:val="center"/>
          </w:tcPr>
          <w:p>
            <w:pPr>
              <w:spacing w:after="0"/>
            </w:pPr>
            <w:r/>
            <w:r>
              <w:rPr>
                <w:rFonts w:ascii="Liberation Sans" w:hAnsi="Liberation Sans"/>
                <w:b/>
                <w:color w:val="FFFFFF"/>
                <w:sz w:val="16"/>
              </w:rPr>
              <w:t>Onderwerp</w:t>
            </w:r>
          </w:p>
        </w:tc>
        <w:tc>
          <w:tcPr>
            <w:tcW w:type="dxa" w:w="5100"/>
            <w:shd w:fill="3A5A78"/>
            <w:vAlign w:val="center"/>
          </w:tcPr>
          <w:p>
            <w:pPr>
              <w:spacing w:after="0"/>
            </w:pPr>
            <w:r/>
            <w:r>
              <w:rPr>
                <w:rFonts w:ascii="Liberation Sans" w:hAnsi="Liberation Sans"/>
                <w:b/>
                <w:color w:val="FFFFFF"/>
                <w:sz w:val="16"/>
              </w:rPr>
              <w:t>Kanaal</w:t>
            </w:r>
          </w:p>
        </w:tc>
      </w:tr>
      <w:tr>
        <w:tc>
          <w:tcPr>
            <w:tcW w:type="dxa" w:w="5100"/>
            <w:vAlign w:val="top"/>
          </w:tcPr>
          <w:p>
            <w:pPr>
              <w:spacing w:after="0"/>
            </w:pPr>
            <w:r/>
            <w:r>
              <w:rPr>
                <w:rFonts w:ascii="Liberation Sans" w:hAnsi="Liberation Sans"/>
                <w:b w:val="0"/>
                <w:color w:val="1A1008"/>
                <w:sz w:val="16"/>
              </w:rPr>
              <w:t>Gewone support</w:t>
            </w:r>
          </w:p>
        </w:tc>
        <w:tc>
          <w:tcPr>
            <w:tcW w:type="dxa" w:w="5100"/>
            <w:vAlign w:val="top"/>
          </w:tcPr>
          <w:p>
            <w:pPr>
              <w:spacing w:after="0"/>
            </w:pPr>
            <w:r/>
            <w:r>
              <w:rPr>
                <w:rFonts w:ascii="Liberation Sans" w:hAnsi="Liberation Sans"/>
                <w:b w:val="0"/>
                <w:color w:val="1A1008"/>
                <w:sz w:val="16"/>
              </w:rPr>
              <w:t>support@summalabs.ai</w:t>
            </w:r>
          </w:p>
        </w:tc>
      </w:tr>
      <w:tr>
        <w:tc>
          <w:tcPr>
            <w:tcW w:type="dxa" w:w="5100"/>
            <w:vAlign w:val="top"/>
            <w:shd w:fill="FBF8F2"/>
          </w:tcPr>
          <w:p>
            <w:pPr>
              <w:spacing w:after="0"/>
            </w:pPr>
            <w:r/>
            <w:r>
              <w:rPr>
                <w:rFonts w:ascii="Liberation Sans" w:hAnsi="Liberation Sans"/>
                <w:b w:val="0"/>
                <w:color w:val="1A1008"/>
                <w:sz w:val="16"/>
              </w:rPr>
              <w:t>Security / kwetsbaarheid</w:t>
            </w:r>
          </w:p>
        </w:tc>
        <w:tc>
          <w:tcPr>
            <w:tcW w:type="dxa" w:w="5100"/>
            <w:vAlign w:val="top"/>
            <w:shd w:fill="FBF8F2"/>
          </w:tcPr>
          <w:p>
            <w:pPr>
              <w:spacing w:after="0"/>
            </w:pPr>
            <w:r/>
            <w:r>
              <w:rPr>
                <w:rFonts w:ascii="Liberation Sans" w:hAnsi="Liberation Sans"/>
                <w:b w:val="0"/>
                <w:color w:val="1A1008"/>
                <w:sz w:val="16"/>
              </w:rPr>
              <w:t>security@summalabs.ai</w:t>
            </w:r>
          </w:p>
        </w:tc>
      </w:tr>
      <w:tr>
        <w:tc>
          <w:tcPr>
            <w:tcW w:type="dxa" w:w="5100"/>
            <w:vAlign w:val="top"/>
          </w:tcPr>
          <w:p>
            <w:pPr>
              <w:spacing w:after="0"/>
            </w:pPr>
            <w:r/>
            <w:r>
              <w:rPr>
                <w:rFonts w:ascii="Liberation Sans" w:hAnsi="Liberation Sans"/>
                <w:b w:val="0"/>
                <w:color w:val="1A1008"/>
                <w:sz w:val="16"/>
              </w:rPr>
              <w:t>Privacy / rechten</w:t>
            </w:r>
          </w:p>
        </w:tc>
        <w:tc>
          <w:tcPr>
            <w:tcW w:type="dxa" w:w="5100"/>
            <w:vAlign w:val="top"/>
          </w:tcPr>
          <w:p>
            <w:pPr>
              <w:spacing w:after="0"/>
            </w:pPr>
            <w:r/>
            <w:r>
              <w:rPr>
                <w:rFonts w:ascii="Liberation Sans" w:hAnsi="Liberation Sans"/>
                <w:b w:val="0"/>
                <w:color w:val="1A1008"/>
                <w:sz w:val="16"/>
              </w:rPr>
              <w:t>privacy@summalabs.ai</w:t>
            </w:r>
          </w:p>
        </w:tc>
      </w:tr>
      <w:tr>
        <w:tc>
          <w:tcPr>
            <w:tcW w:type="dxa" w:w="5100"/>
            <w:vAlign w:val="top"/>
            <w:shd w:fill="FBF8F2"/>
          </w:tcPr>
          <w:p>
            <w:pPr>
              <w:spacing w:after="0"/>
            </w:pPr>
            <w:r/>
            <w:r>
              <w:rPr>
                <w:rFonts w:ascii="Liberation Sans" w:hAnsi="Liberation Sans"/>
                <w:b w:val="0"/>
                <w:color w:val="1A1008"/>
                <w:sz w:val="16"/>
              </w:rPr>
              <w:t>Contractueel / algemeen</w:t>
            </w:r>
          </w:p>
        </w:tc>
        <w:tc>
          <w:tcPr>
            <w:tcW w:type="dxa" w:w="5100"/>
            <w:vAlign w:val="top"/>
            <w:shd w:fill="FBF8F2"/>
          </w:tcPr>
          <w:p>
            <w:pPr>
              <w:spacing w:after="0"/>
            </w:pPr>
            <w:r/>
            <w:r>
              <w:rPr>
                <w:rFonts w:ascii="Liberation Sans" w:hAnsi="Liberation Sans"/>
                <w:b w:val="0"/>
                <w:color w:val="1A1008"/>
                <w:sz w:val="16"/>
              </w:rPr>
              <w:t>info@summalabs.ai</w:t>
            </w:r>
          </w:p>
        </w:tc>
      </w:tr>
    </w:tbl>
    <w:p/>
    <w:p>
      <w:pPr>
        <w:pStyle w:val="Heading1"/>
      </w:pPr>
      <w:r>
        <w:t>9. Klantverantwoordelijkheden</w:t>
      </w:r>
    </w:p>
    <w:p>
      <w:pPr>
        <w:spacing w:after="100"/>
      </w:pPr>
      <w:r>
        <w:t>De klant onderhoudt veilige endpoints en accounts, configureert SSO/MFA passend bij risico, beheert rollen tijdig, classificeert data, bewaart eigen officiële records waar de wet dat vereist en meldt incidenten of misbruik snel. De klant gebruikt een pilot niet als enige opslag voor informatie die niet verloren mag gaan.</w:t>
      </w:r>
    </w:p>
    <w:p>
      <w:pPr>
        <w:pStyle w:val="Heading1"/>
      </w:pPr>
      <w:r>
        <w:t>10. Servicecredits</w:t>
      </w:r>
    </w:p>
    <w:p>
      <w:pPr>
        <w:spacing w:after="100"/>
      </w:pPr>
      <w:r>
        <w:t>Er zijn geen automatische servicecredits tenzij die in een nadere overeenkomst zijn overeengekomen. Wettelijke en contractuele herstelrechten blijven bestaan. Bij GIBIT-klanten gelden de overeengekomen GIBIT-remedies en kan dit document niet worden gebruikt om die rechten stilzwijgend te beperken.</w:t>
      </w:r>
    </w:p>
    <w:sectPr w:rsidR="00FC693F" w:rsidRPr="0006063C" w:rsidSect="00034616">
      <w:headerReference w:type="default" r:id="rId9"/>
      <w:footerReference w:type="default" r:id="rId10"/>
      <w:pgSz w:w="12240" w:h="15840"/>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6E6257"/>
        <w:sz w:val="14"/>
      </w:rPr>
      <w:t xml:space="preserve">Dienstbeschrijving, SLA en supportbeleid  •  v1.0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rPr>
        <w:b/>
        <w:color w:val="3A5A78"/>
        <w:sz w:val="15"/>
      </w:rPr>
      <w:t>SUMMA  /  COMPLIANCE &amp; TRUST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Liberation Sans" w:hAnsi="Liberation Sans"/>
      <w:color w:val="1A1008"/>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Liberation Sans" w:hAnsi="Liberation Sans"/>
      <w:b/>
      <w:bCs/>
      <w:color w:val="3A5A78"/>
      <w:sz w:val="30"/>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Liberation Sans" w:hAnsi="Liberation Sans"/>
      <w:b/>
      <w:bCs/>
      <w:color w:val="C8963E"/>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Liberation Sans" w:hAnsi="Liberation Sans"/>
      <w:b/>
      <w:bCs/>
      <w:color w:val="3A5A78"/>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60"/>
      <w:contextualSpacing/>
    </w:pPr>
    <w:rPr>
      <w:rFonts w:asciiTheme="majorHAnsi" w:eastAsiaTheme="majorEastAsia" w:hAnsiTheme="majorHAnsi" w:cstheme="majorBidi" w:ascii="Liberation Sans" w:hAnsi="Liberation Sans"/>
      <w:b/>
      <w:color w:val="1A100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Summa</dc:creator>
  <cp:keywords/>
  <dc:description/>
  <cp:lastModifiedBy>Summa</cp:lastModifiedBy>
  <cp:revision>1</cp:revision>
  <dcterms:created xsi:type="dcterms:W3CDTF">2013-12-23T23:15:00Z</dcterms:created>
  <dcterms:modified xsi:type="dcterms:W3CDTF">2013-12-23T23:15:00Z</dcterms:modified>
  <cp:category/>
</cp:coreProperties>
</file>