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Bewaar-, verwijder-, export- en overstapbeleid (Data Act)</w:t>
      </w:r>
    </w:p>
    <w:tbl>
      <w:tblPr>
        <w:tblStyle w:val="TableGrid"/>
        <w:tblW w:type="auto" w:w="0"/>
        <w:jc w:val="left"/>
        <w:tblLook w:firstColumn="1" w:firstRow="1" w:lastColumn="0" w:lastRow="0" w:noHBand="0" w:noVBand="1" w:val="04A0"/>
      </w:tblPr>
      <w:tblGrid>
        <w:gridCol w:w="5100"/>
        <w:gridCol w:w="5100"/>
      </w:tblGrid>
      <w:tr>
        <w:tc>
          <w:tcPr>
            <w:tcW w:type="dxa" w:w="5100"/>
            <w:shd w:fill="F7F2E8"/>
          </w:tcPr>
          <w:p>
            <w:pPr>
              <w:spacing w:after="0"/>
            </w:pPr>
            <w:r/>
            <w:r>
              <w:rPr>
                <w:rFonts w:ascii="Liberation Sans" w:hAnsi="Liberation Sans"/>
                <w:b/>
                <w:color w:val="3A5A78"/>
                <w:sz w:val="17"/>
              </w:rPr>
              <w:t>Status</w:t>
            </w:r>
          </w:p>
        </w:tc>
        <w:tc>
          <w:tcPr>
            <w:tcW w:type="dxa" w:w="5100"/>
          </w:tcPr>
          <w:p>
            <w:pPr>
              <w:spacing w:after="0"/>
            </w:pPr>
            <w:r/>
            <w:r>
              <w:rPr>
                <w:rFonts w:ascii="Liberation Sans" w:hAnsi="Liberation Sans"/>
                <w:b w:val="0"/>
                <w:color w:val="1A1008"/>
                <w:sz w:val="17"/>
              </w:rPr>
              <w:t>Geldend leveranciersdocument</w:t>
            </w:r>
          </w:p>
        </w:tc>
      </w:tr>
      <w:tr>
        <w:tc>
          <w:tcPr>
            <w:tcW w:type="dxa" w:w="5100"/>
            <w:shd w:fill="F7F2E8"/>
          </w:tcPr>
          <w:p>
            <w:pPr>
              <w:spacing w:after="0"/>
            </w:pPr>
            <w:r/>
            <w:r>
              <w:rPr>
                <w:rFonts w:ascii="Liberation Sans" w:hAnsi="Liberation Sans"/>
                <w:b/>
                <w:color w:val="3A5A78"/>
                <w:sz w:val="17"/>
              </w:rPr>
              <w:t>Versie / uitgiftedatum</w:t>
            </w:r>
          </w:p>
        </w:tc>
        <w:tc>
          <w:tcPr>
            <w:tcW w:type="dxa" w:w="5100"/>
          </w:tcPr>
          <w:p>
            <w:pPr>
              <w:spacing w:after="0"/>
            </w:pPr>
            <w:r/>
            <w:r>
              <w:rPr>
                <w:rFonts w:ascii="Liberation Sans" w:hAnsi="Liberation Sans"/>
                <w:b w:val="0"/>
                <w:color w:val="1A1008"/>
                <w:sz w:val="17"/>
              </w:rPr>
              <w:t>1.0 / 28 augustus 2026</w:t>
            </w:r>
          </w:p>
        </w:tc>
      </w:tr>
      <w:tr>
        <w:tc>
          <w:tcPr>
            <w:tcW w:type="dxa" w:w="5100"/>
            <w:shd w:fill="F7F2E8"/>
          </w:tcPr>
          <w:p>
            <w:pPr>
              <w:spacing w:after="0"/>
            </w:pPr>
            <w:r/>
            <w:r>
              <w:rPr>
                <w:rFonts w:ascii="Liberation Sans" w:hAnsi="Liberation Sans"/>
                <w:b/>
                <w:color w:val="3A5A78"/>
                <w:sz w:val="17"/>
              </w:rPr>
              <w:t>Documenteigenaar</w:t>
            </w:r>
          </w:p>
        </w:tc>
        <w:tc>
          <w:tcPr>
            <w:tcW w:type="dxa" w:w="5100"/>
          </w:tcPr>
          <w:p>
            <w:pPr>
              <w:spacing w:after="0"/>
            </w:pPr>
            <w:r/>
            <w:r>
              <w:rPr>
                <w:rFonts w:ascii="Liberation Sans" w:hAnsi="Liberation Sans"/>
                <w:b w:val="0"/>
                <w:color w:val="1A1008"/>
                <w:sz w:val="17"/>
              </w:rPr>
              <w:t>Schmeitzke, handelend onder de namen Summa en Summa Labs</w:t>
            </w:r>
          </w:p>
        </w:tc>
      </w:tr>
      <w:tr>
        <w:tc>
          <w:tcPr>
            <w:tcW w:type="dxa" w:w="5100"/>
            <w:shd w:fill="F7F2E8"/>
          </w:tcPr>
          <w:p>
            <w:pPr>
              <w:spacing w:after="0"/>
            </w:pPr>
            <w:r/>
            <w:r>
              <w:rPr>
                <w:rFonts w:ascii="Liberation Sans" w:hAnsi="Liberation Sans"/>
                <w:b/>
                <w:color w:val="3A5A78"/>
                <w:sz w:val="17"/>
              </w:rPr>
              <w:t>Classificatie</w:t>
            </w:r>
          </w:p>
        </w:tc>
        <w:tc>
          <w:tcPr>
            <w:tcW w:type="dxa" w:w="5100"/>
          </w:tcPr>
          <w:p>
            <w:pPr>
              <w:spacing w:after="0"/>
            </w:pPr>
            <w:r/>
            <w:r>
              <w:rPr>
                <w:rFonts w:ascii="Liberation Sans" w:hAnsi="Liberation Sans"/>
                <w:b w:val="0"/>
                <w:color w:val="1A1008"/>
                <w:sz w:val="17"/>
              </w:rPr>
              <w:t>Publiek / contractueel</w:t>
            </w:r>
          </w:p>
        </w:tc>
      </w:tr>
    </w:tbl>
    <w:p/>
    <w:p>
      <w:pPr>
        <w:pStyle w:val="Heading1"/>
      </w:pPr>
      <w:r>
        <w:t>1. Doel</w:t>
      </w:r>
    </w:p>
    <w:p>
      <w:pPr>
        <w:spacing w:after="100"/>
      </w:pPr>
      <w:r>
        <w:t>Dit beleid is de leveranciersnorm voor bewaartermijnen, verwijdering, export en overstap. Het geeft uitvoering aan AVG-beginselen en, voor data-processing services, de relevante switchingverplichtingen van de EU Data Act. Voor gemeenten kan een wettelijke archief-/bewaarplicht de standaardretentie overrulen; zie document 22.</w:t>
      </w:r>
    </w:p>
    <w:p>
      <w:pPr>
        <w:pStyle w:val="Heading1"/>
      </w:pPr>
      <w:r>
        <w:t>2. Standaardbewaartermijnen</w:t>
      </w:r>
    </w:p>
    <w:tbl>
      <w:tblPr>
        <w:tblStyle w:val="TableGrid"/>
        <w:tblW w:type="auto" w:w="0"/>
        <w:jc w:val="left"/>
        <w:tblLook w:firstColumn="1" w:firstRow="1" w:lastColumn="0" w:lastRow="0" w:noHBand="0" w:noVBand="1" w:val="04A0"/>
      </w:tblPr>
      <w:tblGrid>
        <w:gridCol w:w="5100"/>
        <w:gridCol w:w="5100"/>
      </w:tblGrid>
      <w:tr>
        <w:tc>
          <w:tcPr>
            <w:tcW w:type="dxa" w:w="5100"/>
            <w:shd w:fill="3A5A78"/>
            <w:vAlign w:val="center"/>
          </w:tcPr>
          <w:p>
            <w:pPr>
              <w:spacing w:after="0"/>
            </w:pPr>
            <w:r/>
            <w:r>
              <w:rPr>
                <w:rFonts w:ascii="Liberation Sans" w:hAnsi="Liberation Sans"/>
                <w:b/>
                <w:color w:val="FFFFFF"/>
                <w:sz w:val="16"/>
              </w:rPr>
              <w:t>Recordcategorie</w:t>
            </w:r>
          </w:p>
        </w:tc>
        <w:tc>
          <w:tcPr>
            <w:tcW w:type="dxa" w:w="5100"/>
            <w:shd w:fill="3A5A78"/>
            <w:vAlign w:val="center"/>
          </w:tcPr>
          <w:p>
            <w:pPr>
              <w:spacing w:after="0"/>
            </w:pPr>
            <w:r/>
            <w:r>
              <w:rPr>
                <w:rFonts w:ascii="Liberation Sans" w:hAnsi="Liberation Sans"/>
                <w:b/>
                <w:color w:val="FFFFFF"/>
                <w:sz w:val="16"/>
              </w:rPr>
              <w:t>Standaard</w:t>
            </w:r>
          </w:p>
        </w:tc>
      </w:tr>
      <w:tr>
        <w:tc>
          <w:tcPr>
            <w:tcW w:type="dxa" w:w="5100"/>
            <w:vAlign w:val="top"/>
          </w:tcPr>
          <w:p>
            <w:pPr>
              <w:spacing w:after="0"/>
            </w:pPr>
            <w:r/>
            <w:r>
              <w:rPr>
                <w:rFonts w:ascii="Liberation Sans" w:hAnsi="Liberation Sans"/>
                <w:b w:val="0"/>
                <w:color w:val="1A1008"/>
                <w:sz w:val="16"/>
              </w:rPr>
              <w:t>Gewone chatberichten</w:t>
            </w:r>
          </w:p>
        </w:tc>
        <w:tc>
          <w:tcPr>
            <w:tcW w:type="dxa" w:w="5100"/>
            <w:vAlign w:val="top"/>
          </w:tcPr>
          <w:p>
            <w:pPr>
              <w:spacing w:after="0"/>
            </w:pPr>
            <w:r/>
            <w:r>
              <w:rPr>
                <w:rFonts w:ascii="Liberation Sans" w:hAnsi="Liberation Sans"/>
                <w:b w:val="0"/>
                <w:color w:val="1A1008"/>
                <w:sz w:val="16"/>
              </w:rPr>
              <w:t>30 dagen, tenzij tenantbeheer een andere rechtmatige termijn instelt</w:t>
            </w:r>
          </w:p>
        </w:tc>
      </w:tr>
      <w:tr>
        <w:tc>
          <w:tcPr>
            <w:tcW w:type="dxa" w:w="5100"/>
            <w:vAlign w:val="top"/>
            <w:shd w:fill="FBF8F2"/>
          </w:tcPr>
          <w:p>
            <w:pPr>
              <w:spacing w:after="0"/>
            </w:pPr>
            <w:r/>
            <w:r>
              <w:rPr>
                <w:rFonts w:ascii="Liberation Sans" w:hAnsi="Liberation Sans"/>
                <w:b w:val="0"/>
                <w:color w:val="1A1008"/>
                <w:sz w:val="16"/>
              </w:rPr>
              <w:t>Tijdelijke chats en bijbehorende content</w:t>
            </w:r>
          </w:p>
        </w:tc>
        <w:tc>
          <w:tcPr>
            <w:tcW w:type="dxa" w:w="5100"/>
            <w:vAlign w:val="top"/>
            <w:shd w:fill="FBF8F2"/>
          </w:tcPr>
          <w:p>
            <w:pPr>
              <w:spacing w:after="0"/>
            </w:pPr>
            <w:r/>
            <w:r>
              <w:rPr>
                <w:rFonts w:ascii="Liberation Sans" w:hAnsi="Liberation Sans"/>
                <w:b w:val="0"/>
                <w:color w:val="1A1008"/>
                <w:sz w:val="16"/>
              </w:rPr>
              <w:t>Tot sluiten of maximaal 24 uur vanaf creatie; purge-sweep om de 5 minuten</w:t>
            </w:r>
          </w:p>
        </w:tc>
      </w:tr>
      <w:tr>
        <w:tc>
          <w:tcPr>
            <w:tcW w:type="dxa" w:w="5100"/>
            <w:vAlign w:val="top"/>
          </w:tcPr>
          <w:p>
            <w:pPr>
              <w:spacing w:after="0"/>
            </w:pPr>
            <w:r/>
            <w:r>
              <w:rPr>
                <w:rFonts w:ascii="Liberation Sans" w:hAnsi="Liberation Sans"/>
                <w:b w:val="0"/>
                <w:color w:val="1A1008"/>
                <w:sz w:val="16"/>
              </w:rPr>
              <w:t>Project- en bedrijfskennis</w:t>
            </w:r>
          </w:p>
        </w:tc>
        <w:tc>
          <w:tcPr>
            <w:tcW w:type="dxa" w:w="5100"/>
            <w:vAlign w:val="top"/>
          </w:tcPr>
          <w:p>
            <w:pPr>
              <w:spacing w:after="0"/>
            </w:pPr>
            <w:r/>
            <w:r>
              <w:rPr>
                <w:rFonts w:ascii="Liberation Sans" w:hAnsi="Liberation Sans"/>
                <w:b w:val="0"/>
                <w:color w:val="1A1008"/>
                <w:sz w:val="16"/>
              </w:rPr>
              <w:t>Tot verwijdering of toepasselijke organisatie-/archiefinstructie; niet automatisch leeftijdsgepurged door de gewone chatsweep</w:t>
            </w:r>
          </w:p>
        </w:tc>
      </w:tr>
      <w:tr>
        <w:tc>
          <w:tcPr>
            <w:tcW w:type="dxa" w:w="5100"/>
            <w:vAlign w:val="top"/>
            <w:shd w:fill="FBF8F2"/>
          </w:tcPr>
          <w:p>
            <w:pPr>
              <w:spacing w:after="0"/>
            </w:pPr>
            <w:r/>
            <w:r>
              <w:rPr>
                <w:rFonts w:ascii="Liberation Sans" w:hAnsi="Liberation Sans"/>
                <w:b w:val="0"/>
                <w:color w:val="1A1008"/>
                <w:sz w:val="16"/>
              </w:rPr>
              <w:t>Geïmporteerde bestanden</w:t>
            </w:r>
          </w:p>
        </w:tc>
        <w:tc>
          <w:tcPr>
            <w:tcW w:type="dxa" w:w="5100"/>
            <w:vAlign w:val="top"/>
            <w:shd w:fill="FBF8F2"/>
          </w:tcPr>
          <w:p>
            <w:pPr>
              <w:spacing w:after="0"/>
            </w:pPr>
            <w:r/>
            <w:r>
              <w:rPr>
                <w:rFonts w:ascii="Liberation Sans" w:hAnsi="Liberation Sans"/>
                <w:b w:val="0"/>
                <w:color w:val="1A1008"/>
                <w:sz w:val="16"/>
              </w:rPr>
              <w:t>Levensduur van gekoppelde chat/project/knowledgebron</w:t>
            </w:r>
          </w:p>
        </w:tc>
      </w:tr>
      <w:tr>
        <w:tc>
          <w:tcPr>
            <w:tcW w:type="dxa" w:w="5100"/>
            <w:vAlign w:val="top"/>
          </w:tcPr>
          <w:p>
            <w:pPr>
              <w:spacing w:after="0"/>
            </w:pPr>
            <w:r/>
            <w:r>
              <w:rPr>
                <w:rFonts w:ascii="Liberation Sans" w:hAnsi="Liberation Sans"/>
                <w:b w:val="0"/>
                <w:color w:val="1A1008"/>
                <w:sz w:val="16"/>
              </w:rPr>
              <w:t>Gegenereerde artefacten</w:t>
            </w:r>
          </w:p>
        </w:tc>
        <w:tc>
          <w:tcPr>
            <w:tcW w:type="dxa" w:w="5100"/>
            <w:vAlign w:val="top"/>
          </w:tcPr>
          <w:p>
            <w:pPr>
              <w:spacing w:after="0"/>
            </w:pPr>
            <w:r/>
            <w:r>
              <w:rPr>
                <w:rFonts w:ascii="Liberation Sans" w:hAnsi="Liberation Sans"/>
                <w:b w:val="0"/>
                <w:color w:val="1A1008"/>
                <w:sz w:val="16"/>
              </w:rPr>
              <w:t>Levensduur van chat/tenantretentie; mislukte artefacten 24 uur</w:t>
            </w:r>
          </w:p>
        </w:tc>
      </w:tr>
      <w:tr>
        <w:tc>
          <w:tcPr>
            <w:tcW w:type="dxa" w:w="5100"/>
            <w:vAlign w:val="top"/>
            <w:shd w:fill="FBF8F2"/>
          </w:tcPr>
          <w:p>
            <w:pPr>
              <w:spacing w:after="0"/>
            </w:pPr>
            <w:r/>
            <w:r>
              <w:rPr>
                <w:rFonts w:ascii="Liberation Sans" w:hAnsi="Liberation Sans"/>
                <w:b w:val="0"/>
                <w:color w:val="1A1008"/>
                <w:sz w:val="16"/>
              </w:rPr>
              <w:t>Teams ruwe transcript/attendance/chatbron</w:t>
            </w:r>
          </w:p>
        </w:tc>
        <w:tc>
          <w:tcPr>
            <w:tcW w:type="dxa" w:w="5100"/>
            <w:vAlign w:val="top"/>
            <w:shd w:fill="FBF8F2"/>
          </w:tcPr>
          <w:p>
            <w:pPr>
              <w:spacing w:after="0"/>
            </w:pPr>
            <w:r/>
            <w:r>
              <w:rPr>
                <w:rFonts w:ascii="Liberation Sans" w:hAnsi="Liberation Sans"/>
                <w:b w:val="0"/>
                <w:color w:val="1A1008"/>
                <w:sz w:val="16"/>
              </w:rPr>
              <w:t>90 dagen</w:t>
            </w:r>
          </w:p>
        </w:tc>
      </w:tr>
      <w:tr>
        <w:tc>
          <w:tcPr>
            <w:tcW w:type="dxa" w:w="5100"/>
            <w:vAlign w:val="top"/>
          </w:tcPr>
          <w:p>
            <w:pPr>
              <w:spacing w:after="0"/>
            </w:pPr>
            <w:r/>
            <w:r>
              <w:rPr>
                <w:rFonts w:ascii="Liberation Sans" w:hAnsi="Liberation Sans"/>
                <w:b w:val="0"/>
                <w:color w:val="1A1008"/>
                <w:sz w:val="16"/>
              </w:rPr>
              <w:t>Afgeleide meetingnotities</w:t>
            </w:r>
          </w:p>
        </w:tc>
        <w:tc>
          <w:tcPr>
            <w:tcW w:type="dxa" w:w="5100"/>
            <w:vAlign w:val="top"/>
          </w:tcPr>
          <w:p>
            <w:pPr>
              <w:spacing w:after="0"/>
            </w:pPr>
            <w:r/>
            <w:r>
              <w:rPr>
                <w:rFonts w:ascii="Liberation Sans" w:hAnsi="Liberation Sans"/>
                <w:b w:val="0"/>
                <w:color w:val="1A1008"/>
                <w:sz w:val="16"/>
              </w:rPr>
              <w:t>Tenantretentie</w:t>
            </w:r>
          </w:p>
        </w:tc>
      </w:tr>
      <w:tr>
        <w:tc>
          <w:tcPr>
            <w:tcW w:type="dxa" w:w="5100"/>
            <w:vAlign w:val="top"/>
            <w:shd w:fill="FBF8F2"/>
          </w:tcPr>
          <w:p>
            <w:pPr>
              <w:spacing w:after="0"/>
            </w:pPr>
            <w:r/>
            <w:r>
              <w:rPr>
                <w:rFonts w:ascii="Liberation Sans" w:hAnsi="Liberation Sans"/>
                <w:b w:val="0"/>
                <w:color w:val="1A1008"/>
                <w:sz w:val="16"/>
              </w:rPr>
              <w:t>OAuth-tokens</w:t>
            </w:r>
          </w:p>
        </w:tc>
        <w:tc>
          <w:tcPr>
            <w:tcW w:type="dxa" w:w="5100"/>
            <w:vAlign w:val="top"/>
            <w:shd w:fill="FBF8F2"/>
          </w:tcPr>
          <w:p>
            <w:pPr>
              <w:spacing w:after="0"/>
            </w:pPr>
            <w:r/>
            <w:r>
              <w:rPr>
                <w:rFonts w:ascii="Liberation Sans" w:hAnsi="Liberation Sans"/>
                <w:b w:val="0"/>
                <w:color w:val="1A1008"/>
                <w:sz w:val="16"/>
              </w:rPr>
              <w:t>Tot disconnect, account-/tenantverwijdering of intrekking</w:t>
            </w:r>
          </w:p>
        </w:tc>
      </w:tr>
      <w:tr>
        <w:tc>
          <w:tcPr>
            <w:tcW w:type="dxa" w:w="5100"/>
            <w:vAlign w:val="top"/>
          </w:tcPr>
          <w:p>
            <w:pPr>
              <w:spacing w:after="0"/>
            </w:pPr>
            <w:r/>
            <w:r>
              <w:rPr>
                <w:rFonts w:ascii="Liberation Sans" w:hAnsi="Liberation Sans"/>
                <w:b w:val="0"/>
                <w:color w:val="1A1008"/>
                <w:sz w:val="16"/>
              </w:rPr>
              <w:t>Webanalytics ruwe events</w:t>
            </w:r>
          </w:p>
        </w:tc>
        <w:tc>
          <w:tcPr>
            <w:tcW w:type="dxa" w:w="5100"/>
            <w:vAlign w:val="top"/>
          </w:tcPr>
          <w:p>
            <w:pPr>
              <w:spacing w:after="0"/>
            </w:pPr>
            <w:r/>
            <w:r>
              <w:rPr>
                <w:rFonts w:ascii="Liberation Sans" w:hAnsi="Liberation Sans"/>
                <w:b w:val="0"/>
                <w:color w:val="1A1008"/>
                <w:sz w:val="16"/>
              </w:rPr>
              <w:t>90 dagen</w:t>
            </w:r>
          </w:p>
        </w:tc>
      </w:tr>
      <w:tr>
        <w:tc>
          <w:tcPr>
            <w:tcW w:type="dxa" w:w="5100"/>
            <w:vAlign w:val="top"/>
            <w:shd w:fill="FBF8F2"/>
          </w:tcPr>
          <w:p>
            <w:pPr>
              <w:spacing w:after="0"/>
            </w:pPr>
            <w:r/>
            <w:r>
              <w:rPr>
                <w:rFonts w:ascii="Liberation Sans" w:hAnsi="Liberation Sans"/>
                <w:b w:val="0"/>
                <w:color w:val="1A1008"/>
                <w:sz w:val="16"/>
              </w:rPr>
              <w:t>Wachtlijst pending</w:t>
            </w:r>
          </w:p>
        </w:tc>
        <w:tc>
          <w:tcPr>
            <w:tcW w:type="dxa" w:w="5100"/>
            <w:vAlign w:val="top"/>
            <w:shd w:fill="FBF8F2"/>
          </w:tcPr>
          <w:p>
            <w:pPr>
              <w:spacing w:after="0"/>
            </w:pPr>
            <w:r/>
            <w:r>
              <w:rPr>
                <w:rFonts w:ascii="Liberation Sans" w:hAnsi="Liberation Sans"/>
                <w:b w:val="0"/>
                <w:color w:val="1A1008"/>
                <w:sz w:val="16"/>
              </w:rPr>
              <w:t>365 dagen na laatste activiteit</w:t>
            </w:r>
          </w:p>
        </w:tc>
      </w:tr>
      <w:tr>
        <w:tc>
          <w:tcPr>
            <w:tcW w:type="dxa" w:w="5100"/>
            <w:vAlign w:val="top"/>
          </w:tcPr>
          <w:p>
            <w:pPr>
              <w:spacing w:after="0"/>
            </w:pPr>
            <w:r/>
            <w:r>
              <w:rPr>
                <w:rFonts w:ascii="Liberation Sans" w:hAnsi="Liberation Sans"/>
                <w:b w:val="0"/>
                <w:color w:val="1A1008"/>
                <w:sz w:val="16"/>
              </w:rPr>
              <w:t>Wachtlijst refused/expired</w:t>
            </w:r>
          </w:p>
        </w:tc>
        <w:tc>
          <w:tcPr>
            <w:tcW w:type="dxa" w:w="5100"/>
            <w:vAlign w:val="top"/>
          </w:tcPr>
          <w:p>
            <w:pPr>
              <w:spacing w:after="0"/>
            </w:pPr>
            <w:r/>
            <w:r>
              <w:rPr>
                <w:rFonts w:ascii="Liberation Sans" w:hAnsi="Liberation Sans"/>
                <w:b w:val="0"/>
                <w:color w:val="1A1008"/>
                <w:sz w:val="16"/>
              </w:rPr>
              <w:t>90 dagen</w:t>
            </w:r>
          </w:p>
        </w:tc>
      </w:tr>
      <w:tr>
        <w:tc>
          <w:tcPr>
            <w:tcW w:type="dxa" w:w="5100"/>
            <w:vAlign w:val="top"/>
            <w:shd w:fill="FBF8F2"/>
          </w:tcPr>
          <w:p>
            <w:pPr>
              <w:spacing w:after="0"/>
            </w:pPr>
            <w:r/>
            <w:r>
              <w:rPr>
                <w:rFonts w:ascii="Liberation Sans" w:hAnsi="Liberation Sans"/>
                <w:b w:val="0"/>
                <w:color w:val="1A1008"/>
                <w:sz w:val="16"/>
              </w:rPr>
              <w:t>Wachtlijst converted</w:t>
            </w:r>
          </w:p>
        </w:tc>
        <w:tc>
          <w:tcPr>
            <w:tcW w:type="dxa" w:w="5100"/>
            <w:vAlign w:val="top"/>
            <w:shd w:fill="FBF8F2"/>
          </w:tcPr>
          <w:p>
            <w:pPr>
              <w:spacing w:after="0"/>
            </w:pPr>
            <w:r/>
            <w:r>
              <w:rPr>
                <w:rFonts w:ascii="Liberation Sans" w:hAnsi="Liberation Sans"/>
                <w:b w:val="0"/>
                <w:color w:val="1A1008"/>
                <w:sz w:val="16"/>
              </w:rPr>
              <w:t>30 dagen na conversie</w:t>
            </w:r>
          </w:p>
        </w:tc>
      </w:tr>
      <w:tr>
        <w:tc>
          <w:tcPr>
            <w:tcW w:type="dxa" w:w="5100"/>
            <w:vAlign w:val="top"/>
          </w:tcPr>
          <w:p>
            <w:pPr>
              <w:spacing w:after="0"/>
            </w:pPr>
            <w:r/>
            <w:r>
              <w:rPr>
                <w:rFonts w:ascii="Liberation Sans" w:hAnsi="Liberation Sans"/>
                <w:b w:val="0"/>
                <w:color w:val="1A1008"/>
                <w:sz w:val="16"/>
              </w:rPr>
              <w:t>Zakelijke auditrecords</w:t>
            </w:r>
          </w:p>
        </w:tc>
        <w:tc>
          <w:tcPr>
            <w:tcW w:type="dxa" w:w="5100"/>
            <w:vAlign w:val="top"/>
          </w:tcPr>
          <w:p>
            <w:pPr>
              <w:spacing w:after="0"/>
            </w:pPr>
            <w:r/>
            <w:r>
              <w:rPr>
                <w:rFonts w:ascii="Liberation Sans" w:hAnsi="Liberation Sans"/>
                <w:b w:val="0"/>
                <w:color w:val="1A1008"/>
                <w:sz w:val="16"/>
              </w:rPr>
              <w:t>Doel 12 maanden, tenzij overeenkomst/tenantinstelling anders vereist</w:t>
            </w:r>
          </w:p>
        </w:tc>
      </w:tr>
      <w:tr>
        <w:tc>
          <w:tcPr>
            <w:tcW w:type="dxa" w:w="5100"/>
            <w:vAlign w:val="top"/>
            <w:shd w:fill="FBF8F2"/>
          </w:tcPr>
          <w:p>
            <w:pPr>
              <w:spacing w:after="0"/>
            </w:pPr>
            <w:r/>
            <w:r>
              <w:rPr>
                <w:rFonts w:ascii="Liberation Sans" w:hAnsi="Liberation Sans"/>
                <w:b w:val="0"/>
                <w:color w:val="1A1008"/>
                <w:sz w:val="16"/>
              </w:rPr>
              <w:t>Securitylogs</w:t>
            </w:r>
          </w:p>
        </w:tc>
        <w:tc>
          <w:tcPr>
            <w:tcW w:type="dxa" w:w="5100"/>
            <w:vAlign w:val="top"/>
            <w:shd w:fill="FBF8F2"/>
          </w:tcPr>
          <w:p>
            <w:pPr>
              <w:spacing w:after="0"/>
            </w:pPr>
            <w:r/>
            <w:r>
              <w:rPr>
                <w:rFonts w:ascii="Liberation Sans" w:hAnsi="Liberation Sans"/>
                <w:b w:val="0"/>
                <w:color w:val="1A1008"/>
                <w:sz w:val="16"/>
              </w:rPr>
              <w:t>Doel normaal 90 dagen, tenzij incident/legal hold</w:t>
            </w:r>
          </w:p>
        </w:tc>
      </w:tr>
      <w:tr>
        <w:tc>
          <w:tcPr>
            <w:tcW w:type="dxa" w:w="5100"/>
            <w:vAlign w:val="top"/>
          </w:tcPr>
          <w:p>
            <w:pPr>
              <w:spacing w:after="0"/>
            </w:pPr>
            <w:r/>
            <w:r>
              <w:rPr>
                <w:rFonts w:ascii="Liberation Sans" w:hAnsi="Liberation Sans"/>
                <w:b w:val="0"/>
                <w:color w:val="1A1008"/>
                <w:sz w:val="16"/>
              </w:rPr>
              <w:t>Supportdossier</w:t>
            </w:r>
          </w:p>
        </w:tc>
        <w:tc>
          <w:tcPr>
            <w:tcW w:type="dxa" w:w="5100"/>
            <w:vAlign w:val="top"/>
          </w:tcPr>
          <w:p>
            <w:pPr>
              <w:spacing w:after="0"/>
            </w:pPr>
            <w:r/>
            <w:r>
              <w:rPr>
                <w:rFonts w:ascii="Liberation Sans" w:hAnsi="Liberation Sans"/>
                <w:b w:val="0"/>
                <w:color w:val="1A1008"/>
                <w:sz w:val="16"/>
              </w:rPr>
              <w:t>2 jaar na sluiting</w:t>
            </w:r>
          </w:p>
        </w:tc>
      </w:tr>
      <w:tr>
        <w:tc>
          <w:tcPr>
            <w:tcW w:type="dxa" w:w="5100"/>
            <w:vAlign w:val="top"/>
            <w:shd w:fill="FBF8F2"/>
          </w:tcPr>
          <w:p>
            <w:pPr>
              <w:spacing w:after="0"/>
            </w:pPr>
            <w:r/>
            <w:r>
              <w:rPr>
                <w:rFonts w:ascii="Liberation Sans" w:hAnsi="Liberation Sans"/>
                <w:b w:val="0"/>
                <w:color w:val="1A1008"/>
                <w:sz w:val="16"/>
              </w:rPr>
              <w:t>Securityincidentdossier</w:t>
            </w:r>
          </w:p>
        </w:tc>
        <w:tc>
          <w:tcPr>
            <w:tcW w:type="dxa" w:w="5100"/>
            <w:vAlign w:val="top"/>
            <w:shd w:fill="FBF8F2"/>
          </w:tcPr>
          <w:p>
            <w:pPr>
              <w:spacing w:after="0"/>
            </w:pPr>
            <w:r/>
            <w:r>
              <w:rPr>
                <w:rFonts w:ascii="Liberation Sans" w:hAnsi="Liberation Sans"/>
                <w:b w:val="0"/>
                <w:color w:val="1A1008"/>
                <w:sz w:val="16"/>
              </w:rPr>
              <w:t>5 jaar na sluiting</w:t>
            </w:r>
          </w:p>
        </w:tc>
      </w:tr>
      <w:tr>
        <w:tc>
          <w:tcPr>
            <w:tcW w:type="dxa" w:w="5100"/>
            <w:vAlign w:val="top"/>
          </w:tcPr>
          <w:p>
            <w:pPr>
              <w:spacing w:after="0"/>
            </w:pPr>
            <w:r/>
            <w:r>
              <w:rPr>
                <w:rFonts w:ascii="Liberation Sans" w:hAnsi="Liberation Sans"/>
                <w:b w:val="0"/>
                <w:color w:val="1A1008"/>
                <w:sz w:val="16"/>
              </w:rPr>
              <w:t>Privacyrechtenverzoek</w:t>
            </w:r>
          </w:p>
        </w:tc>
        <w:tc>
          <w:tcPr>
            <w:tcW w:type="dxa" w:w="5100"/>
            <w:vAlign w:val="top"/>
          </w:tcPr>
          <w:p>
            <w:pPr>
              <w:spacing w:after="0"/>
            </w:pPr>
            <w:r/>
            <w:r>
              <w:rPr>
                <w:rFonts w:ascii="Liberation Sans" w:hAnsi="Liberation Sans"/>
                <w:b w:val="0"/>
                <w:color w:val="1A1008"/>
                <w:sz w:val="16"/>
              </w:rPr>
              <w:t>5 jaar na afronding</w:t>
            </w:r>
          </w:p>
        </w:tc>
      </w:tr>
      <w:tr>
        <w:tc>
          <w:tcPr>
            <w:tcW w:type="dxa" w:w="5100"/>
            <w:vAlign w:val="top"/>
            <w:shd w:fill="FBF8F2"/>
          </w:tcPr>
          <w:p>
            <w:pPr>
              <w:spacing w:after="0"/>
            </w:pPr>
            <w:r/>
            <w:r>
              <w:rPr>
                <w:rFonts w:ascii="Liberation Sans" w:hAnsi="Liberation Sans"/>
                <w:b w:val="0"/>
                <w:color w:val="1A1008"/>
                <w:sz w:val="16"/>
              </w:rPr>
              <w:t>Facturen/fiscale administratie</w:t>
            </w:r>
          </w:p>
        </w:tc>
        <w:tc>
          <w:tcPr>
            <w:tcW w:type="dxa" w:w="5100"/>
            <w:vAlign w:val="top"/>
            <w:shd w:fill="FBF8F2"/>
          </w:tcPr>
          <w:p>
            <w:pPr>
              <w:spacing w:after="0"/>
            </w:pPr>
            <w:r/>
            <w:r>
              <w:rPr>
                <w:rFonts w:ascii="Liberation Sans" w:hAnsi="Liberation Sans"/>
                <w:b w:val="0"/>
                <w:color w:val="1A1008"/>
                <w:sz w:val="16"/>
              </w:rPr>
              <w:t>7 jaar of langere wettelijke termijn</w:t>
            </w:r>
          </w:p>
        </w:tc>
      </w:tr>
      <w:tr>
        <w:tc>
          <w:tcPr>
            <w:tcW w:type="dxa" w:w="5100"/>
            <w:vAlign w:val="top"/>
          </w:tcPr>
          <w:p>
            <w:pPr>
              <w:spacing w:after="0"/>
            </w:pPr>
            <w:r/>
            <w:r>
              <w:rPr>
                <w:rFonts w:ascii="Liberation Sans" w:hAnsi="Liberation Sans"/>
                <w:b w:val="0"/>
                <w:color w:val="1A1008"/>
                <w:sz w:val="16"/>
              </w:rPr>
              <w:t>Contract/DPA/acceptatiebewijs</w:t>
            </w:r>
          </w:p>
        </w:tc>
        <w:tc>
          <w:tcPr>
            <w:tcW w:type="dxa" w:w="5100"/>
            <w:vAlign w:val="top"/>
          </w:tcPr>
          <w:p>
            <w:pPr>
              <w:spacing w:after="0"/>
            </w:pPr>
            <w:r/>
            <w:r>
              <w:rPr>
                <w:rFonts w:ascii="Liberation Sans" w:hAnsi="Liberation Sans"/>
                <w:b w:val="0"/>
                <w:color w:val="1A1008"/>
                <w:sz w:val="16"/>
              </w:rPr>
              <w:t>Relatie + maximaal 7 jaar voor bewijs voor zover noodzakelijk</w:t>
            </w:r>
          </w:p>
        </w:tc>
      </w:tr>
      <w:tr>
        <w:tc>
          <w:tcPr>
            <w:tcW w:type="dxa" w:w="5100"/>
            <w:vAlign w:val="top"/>
            <w:shd w:fill="FBF8F2"/>
          </w:tcPr>
          <w:p>
            <w:pPr>
              <w:spacing w:after="0"/>
            </w:pPr>
            <w:r/>
            <w:r>
              <w:rPr>
                <w:rFonts w:ascii="Liberation Sans" w:hAnsi="Liberation Sans"/>
                <w:b w:val="0"/>
                <w:color w:val="1A1008"/>
                <w:sz w:val="16"/>
              </w:rPr>
              <w:t>Off-cluster backups</w:t>
            </w:r>
          </w:p>
        </w:tc>
        <w:tc>
          <w:tcPr>
            <w:tcW w:type="dxa" w:w="5100"/>
            <w:vAlign w:val="top"/>
            <w:shd w:fill="FBF8F2"/>
          </w:tcPr>
          <w:p>
            <w:pPr>
              <w:spacing w:after="0"/>
            </w:pPr>
            <w:r/>
            <w:r>
              <w:rPr>
                <w:rFonts w:ascii="Liberation Sans" w:hAnsi="Liberation Sans"/>
                <w:b w:val="0"/>
                <w:color w:val="1A1008"/>
                <w:sz w:val="16"/>
              </w:rPr>
              <w:t>Niet actief op uitgiftedatum; na activering uitsluitend volgens de geverifieerde backupcyclus</w:t>
            </w:r>
          </w:p>
        </w:tc>
      </w:tr>
    </w:tbl>
    <w:p/>
    <w:p>
      <w:pPr>
        <w:pStyle w:val="Heading1"/>
      </w:pPr>
      <w:r>
        <w:t>3. Verwijderprincipes</w:t>
      </w:r>
    </w:p>
    <w:p>
      <w:pPr>
        <w:spacing w:after="100"/>
      </w:pPr>
      <w:r>
        <w:t>Verwijdering omvat waar technisch toepasselijk database-records, objectstorage, caches, identiteitsrecord, observability-koppelingen en providercredentials. Summa gebruikt een duurzame erasure-receipt/retryroute om mislukte componentverwijderingen opnieuw uit te voeren.</w:t>
      </w:r>
    </w:p>
    <w:p>
      <w:pPr>
        <w:spacing w:after="100"/>
      </w:pPr>
      <w:r>
        <w:t>In een gedeelde room is het niet altijd rechtmatig of technisch passend om de volledige gezamenlijke conversatie te vernietigen wanneer één auteur zijn account verwijdert. Dan wordt diens persoonlijke bijdrage waar mogelijk geredigeerd/geanonimiseerd en blijven gegevens die mede het werkproduct/recht van andere deelnemers vormen onder de rechtmatige tenantretentie bestaan.</w:t>
      </w:r>
    </w:p>
    <w:p>
      <w:pPr>
        <w:pStyle w:val="Heading1"/>
      </w:pPr>
      <w:r>
        <w:t>4. Legal hold en archiefhold</w:t>
      </w:r>
    </w:p>
    <w:p>
      <w:pPr>
        <w:spacing w:after="100"/>
      </w:pPr>
      <w:r>
        <w:t>Automatische verwijdering wordt voor specifiek gemarkeerde gegevens opgeschort wanneer een wettelijke bewaarplicht, gerechtelijk bevel, concrete claim/onderzoek of schriftelijke controllerinstructie dit noodzakelijk maakt. Een hold is beperkt in scope en duur, heeft een eigenaar, reden en herbeoordelingsdatum.</w:t>
      </w:r>
    </w:p>
    <w:p>
      <w:pPr>
        <w:spacing w:after="100"/>
      </w:pPr>
      <w:r>
        <w:t>Voor gemeenten moeten archiefwaardige gegevens kunnen worden uitgezonderd van standaardretentie voordat de pilot/productie archiefwaardige informatie bevat.</w:t>
      </w:r>
    </w:p>
    <w:p>
      <w:pPr>
        <w:pStyle w:val="Heading1"/>
      </w:pPr>
      <w:r>
        <w:t>5. Export tijdens overeenkomst</w:t>
      </w:r>
    </w:p>
    <w:p>
      <w:pPr>
        <w:spacing w:after="100"/>
      </w:pPr>
      <w:r>
        <w:t>Een bevoegde gebruiker/tenantbeheerder kan beschikbare persoonsgegevens en organisatiegegevens exporteren via de productfuncties. Het exportdoel is een gestructureerde, gangbare, machineleesbare overdracht zonder onnodige lock-in.</w:t>
      </w:r>
    </w:p>
    <w:p>
      <w:pPr>
        <w:spacing w:after="100"/>
      </w:pPr>
      <w:r>
        <w:t>De leveranciers-exportset omvat, voor zover in de betreffende tenant aanwezig en juridisch exporteerbaar:</w:t>
      </w:r>
    </w:p>
    <w:p>
      <w:pPr>
        <w:pStyle w:val="ListBullet"/>
        <w:spacing w:after="40"/>
        <w:ind w:left="227"/>
      </w:pPr>
      <w:r>
        <w:t>gebruikers- en rolgegevens;</w:t>
      </w:r>
    </w:p>
    <w:p>
      <w:pPr>
        <w:pStyle w:val="ListBullet"/>
        <w:spacing w:after="40"/>
        <w:ind w:left="227"/>
      </w:pPr>
      <w:r>
        <w:t>organisatieconfiguratie en relevante policies;</w:t>
      </w:r>
    </w:p>
    <w:p>
      <w:pPr>
        <w:pStyle w:val="ListBullet"/>
        <w:spacing w:after="40"/>
        <w:ind w:left="227"/>
      </w:pPr>
      <w:r>
        <w:t>conversations/messages en metadata;</w:t>
      </w:r>
    </w:p>
    <w:p>
      <w:pPr>
        <w:pStyle w:val="ListBullet"/>
        <w:spacing w:after="40"/>
        <w:ind w:left="227"/>
      </w:pPr>
      <w:r>
        <w:t>projecten en kennisinventaris;</w:t>
      </w:r>
    </w:p>
    <w:p>
      <w:pPr>
        <w:pStyle w:val="ListBullet"/>
        <w:spacing w:after="40"/>
        <w:ind w:left="227"/>
      </w:pPr>
      <w:r>
        <w:t>door klant aangeleverde/gegenereerde bestanden voor zover beschikbaar;</w:t>
      </w:r>
    </w:p>
    <w:p>
      <w:pPr>
        <w:pStyle w:val="ListBullet"/>
        <w:spacing w:after="40"/>
        <w:ind w:left="227"/>
      </w:pPr>
      <w:r>
        <w:t>custom instructions en relevante gebruikersconfiguraties;</w:t>
      </w:r>
    </w:p>
    <w:p>
      <w:pPr>
        <w:pStyle w:val="ListBullet"/>
        <w:spacing w:after="40"/>
        <w:ind w:left="227"/>
      </w:pPr>
      <w:r>
        <w:t>klantzichtbare usage- en auditinformatie;</w:t>
      </w:r>
    </w:p>
    <w:p>
      <w:pPr>
        <w:pStyle w:val="ListBullet"/>
        <w:spacing w:after="40"/>
        <w:ind w:left="227"/>
      </w:pPr>
      <w:r>
        <w:t>retentie-instellingen;</w:t>
      </w:r>
    </w:p>
    <w:p>
      <w:pPr>
        <w:pStyle w:val="ListBullet"/>
        <w:spacing w:after="40"/>
        <w:ind w:left="227"/>
      </w:pPr>
      <w:r>
        <w:t>exporteerbare meetingnotities/bronnen binnen bewaartermijn;</w:t>
      </w:r>
    </w:p>
    <w:p>
      <w:pPr>
        <w:pStyle w:val="ListBullet"/>
        <w:spacing w:after="40"/>
        <w:ind w:left="227"/>
      </w:pPr>
      <w:r>
        <w:t>verwijzingen naar connectorconfiguratie zonder geheime tokens.</w:t>
      </w:r>
    </w:p>
    <w:p>
      <w:pPr>
        <w:spacing w:after="100"/>
      </w:pPr>
      <w:r>
        <w:t>Uitgesloten zijn Summa-broncode, modelgewichten, secrets, interne detectieregels, andere klanten hun data en intern securitymateriaal waarvan export het systeem wezenlijk zou verzwakken.</w:t>
      </w:r>
    </w:p>
    <w:p>
      <w:pPr>
        <w:pStyle w:val="Heading1"/>
      </w:pPr>
      <w:r>
        <w:t>6. Online exportformatenregister</w:t>
      </w:r>
    </w:p>
    <w:p>
      <w:pPr>
        <w:spacing w:after="100"/>
      </w:pPr>
      <w:r>
        <w:t>Het machineleesbare bestand `registers/export_format_register.json` vormt het actuele Data Act-exportregister. Hoofdformaten zijn JSON voor gestructureerde applicatiedata, CSV voor tabelachtige overzichten en originele/documentformaten voor klantbestanden waar beschikbaar. Het register vermeldt objecttype, formaat, belangrijke velden en beperkingen.</w:t>
      </w:r>
    </w:p>
    <w:p>
      <w:pPr>
        <w:pStyle w:val="Heading1"/>
      </w:pPr>
      <w:r>
        <w:t>7. Overstappen en beëindigen</w:t>
      </w:r>
    </w:p>
    <w:p>
      <w:pPr>
        <w:spacing w:after="100"/>
      </w:pPr>
      <w:r>
        <w:t>Een klant kan de overeenkomst beëindigen en gegevens naar een andere aanbieder of eigen omgeving overbrengen volgens de contractuele opzegtermijn, die voor Data Act-switching niet zwaarder wordt ingericht dan wettelijk toegestaan. Na geldig switch-/exitverzoek:</w:t>
      </w:r>
    </w:p>
    <w:p>
      <w:pPr>
        <w:pStyle w:val="ListNumber"/>
        <w:spacing w:after="40"/>
        <w:ind w:left="227"/>
      </w:pPr>
      <w:r>
        <w:t>bevestigt Summa de exitcontactpersoon en scope;</w:t>
      </w:r>
    </w:p>
    <w:p>
      <w:pPr>
        <w:pStyle w:val="ListNumber"/>
        <w:spacing w:after="40"/>
        <w:ind w:left="227"/>
      </w:pPr>
      <w:r>
        <w:t>bevriest Summa geen normale toegang behalve waar noodzakelijk voor migratie/security;</w:t>
      </w:r>
    </w:p>
    <w:p>
      <w:pPr>
        <w:pStyle w:val="ListNumber"/>
        <w:spacing w:after="40"/>
        <w:ind w:left="227"/>
      </w:pPr>
      <w:r>
        <w:t>levert Summa de overeengekomen export;</w:t>
      </w:r>
    </w:p>
    <w:p>
      <w:pPr>
        <w:pStyle w:val="ListNumber"/>
        <w:spacing w:after="40"/>
        <w:ind w:left="227"/>
      </w:pPr>
      <w:r>
        <w:t>biedt Summa redelijke technische uitleg van exportformaten;</w:t>
      </w:r>
    </w:p>
    <w:p>
      <w:pPr>
        <w:pStyle w:val="ListNumber"/>
        <w:spacing w:after="40"/>
        <w:ind w:left="227"/>
      </w:pPr>
      <w:r>
        <w:t>ondersteunt Summa een transitieperiode die in beginsel maximaal 30 kalenderdagen bedraagt, tenzij een langere periode technisch noodzakelijk en volgens de Data Act gemotiveerd/overeengekomen is;</w:t>
      </w:r>
    </w:p>
    <w:p>
      <w:pPr>
        <w:pStyle w:val="ListNumber"/>
        <w:spacing w:after="40"/>
        <w:ind w:left="227"/>
      </w:pPr>
      <w:r>
        <w:t>krijgt de klant daarna de overeengekomen retrieval-/controleperiode;</w:t>
      </w:r>
    </w:p>
    <w:p>
      <w:pPr>
        <w:pStyle w:val="ListNumber"/>
        <w:spacing w:after="40"/>
        <w:ind w:left="227"/>
      </w:pPr>
      <w:r>
        <w:t>verwijdert Summa de gegevens en geeft op verzoek een vernietigingsverklaring.</w:t>
      </w:r>
    </w:p>
    <w:p>
      <w:pPr>
        <w:spacing w:after="100"/>
      </w:pPr>
      <w:r>
        <w:t>Summa rekent geen bestraffende lock-in fee. Eventuele vóór 12 januari 2027 wettelijk toegestane switchkosten zijn uitsluitend rechtstreeks toerekenbare kosten en worden vooraf transparant gemaakt; vanaf 12 januari 2027 worden geen switching charges geheven voor de onder de Data Act vallende switching.</w:t>
      </w:r>
    </w:p>
    <w:p>
      <w:pPr>
        <w:pStyle w:val="Heading1"/>
      </w:pPr>
      <w:r>
        <w:t>8. Bedrijfscontinuïteit tijdens exit</w:t>
      </w:r>
    </w:p>
    <w:p>
      <w:pPr>
        <w:spacing w:after="100"/>
      </w:pPr>
      <w:r>
        <w:t>Summa voorkomt dat een exit op zichzelf leidt tot onnodige serviceonderbreking. Bij gemeentelijke overeenkomsten wordt een afzonderlijk Exitplan bijgehouden volgens GIBIT 2025 artikel 29, inclusief rollen, planning, datatransfer, vernietiging en eventueel oefenen/simuleren.</w:t>
      </w:r>
    </w:p>
    <w:p>
      <w:pPr>
        <w:pStyle w:val="Heading1"/>
      </w:pPr>
      <w:r>
        <w:t>9. Vernietigingsverklaring</w:t>
      </w:r>
    </w:p>
    <w:p>
      <w:pPr>
        <w:spacing w:after="100"/>
      </w:pPr>
      <w:r>
        <w:t>Na voltooiing kan Summa verklaren welke tenant/scope is verwijderd, datum actieve verwijdering, nog toepasselijke wettelijke bewijsrecords en - zodra backups bestaan - uiterste backupvervaldatum. De verklaring bevat geen geheime technische details maar is controleerbaar aan de interne erasure receipt/auditregistratie.</w:t>
      </w:r>
    </w:p>
    <w:sectPr w:rsidR="00FC693F" w:rsidRPr="0006063C" w:rsidSect="00034616">
      <w:headerReference w:type="default" r:id="rId9"/>
      <w:footerReference w:type="default" r:id="rId10"/>
      <w:pgSz w:w="12240" w:h="15840"/>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6E6257"/>
        <w:sz w:val="14"/>
      </w:rPr>
      <w:t xml:space="preserve">Bewaar-, verwijder-, export- en overstapbeleid (Data Act)  •  v1.0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b/>
        <w:color w:val="3A5A78"/>
        <w:sz w:val="15"/>
      </w:rPr>
      <w:t>SUMMA  /  COMPLIANCE &amp; TRUST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Liberation Sans" w:hAnsi="Liberation Sans"/>
      <w:color w:val="1A1008"/>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Liberation Sans" w:hAnsi="Liberation Sans"/>
      <w:b/>
      <w:bCs/>
      <w:color w:val="3A5A78"/>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Liberation Sans" w:hAnsi="Liberation Sans"/>
      <w:b/>
      <w:bCs/>
      <w:color w:val="C8963E"/>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Liberation Sans" w:hAnsi="Liberation Sans"/>
      <w:b/>
      <w:bCs/>
      <w:color w:val="3A5A7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60"/>
      <w:contextualSpacing/>
    </w:pPr>
    <w:rPr>
      <w:rFonts w:asciiTheme="majorHAnsi" w:eastAsiaTheme="majorEastAsia" w:hAnsiTheme="majorHAnsi" w:cstheme="majorBidi" w:ascii="Liberation Sans" w:hAnsi="Liberation Sans"/>
      <w:b/>
      <w:color w:val="1A100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Summa</dc:creator>
  <cp:keywords/>
  <dc:description/>
  <cp:lastModifiedBy>Summa</cp:lastModifiedBy>
  <cp:revision>1</cp:revision>
  <dcterms:created xsi:type="dcterms:W3CDTF">2013-12-23T23:15:00Z</dcterms:created>
  <dcterms:modified xsi:type="dcterms:W3CDTF">2013-12-23T23:15:00Z</dcterms:modified>
  <cp:category/>
</cp:coreProperties>
</file>