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left"/>
      </w:pPr>
      <w:r>
        <w:t>Zakelijke SaaS-voorwaarden</w:t>
      </w:r>
    </w:p>
    <w:tbl>
      <w:tblPr>
        <w:tblStyle w:val="TableGrid"/>
        <w:tblW w:type="auto" w:w="0"/>
        <w:jc w:val="left"/>
        <w:tblLook w:firstColumn="1" w:firstRow="1" w:lastColumn="0" w:lastRow="0" w:noHBand="0" w:noVBand="1" w:val="04A0"/>
      </w:tblPr>
      <w:tblGrid>
        <w:gridCol w:w="5100"/>
        <w:gridCol w:w="5100"/>
      </w:tblGrid>
      <w:tr>
        <w:tc>
          <w:tcPr>
            <w:tcW w:type="dxa" w:w="5100"/>
            <w:shd w:fill="F7F2E8"/>
          </w:tcPr>
          <w:p>
            <w:pPr>
              <w:spacing w:after="0"/>
            </w:pPr>
            <w:r/>
            <w:r>
              <w:rPr>
                <w:rFonts w:ascii="Liberation Sans" w:hAnsi="Liberation Sans"/>
                <w:b/>
                <w:color w:val="3A5A78"/>
                <w:sz w:val="17"/>
              </w:rPr>
              <w:t>Status</w:t>
            </w:r>
          </w:p>
        </w:tc>
        <w:tc>
          <w:tcPr>
            <w:tcW w:type="dxa" w:w="5100"/>
          </w:tcPr>
          <w:p>
            <w:pPr>
              <w:spacing w:after="0"/>
            </w:pPr>
            <w:r/>
            <w:r>
              <w:rPr>
                <w:rFonts w:ascii="Liberation Sans" w:hAnsi="Liberation Sans"/>
                <w:b w:val="0"/>
                <w:color w:val="1A1008"/>
                <w:sz w:val="17"/>
              </w:rPr>
              <w:t>Geldend leveranciersdocument</w:t>
            </w:r>
          </w:p>
        </w:tc>
      </w:tr>
      <w:tr>
        <w:tc>
          <w:tcPr>
            <w:tcW w:type="dxa" w:w="5100"/>
            <w:shd w:fill="F7F2E8"/>
          </w:tcPr>
          <w:p>
            <w:pPr>
              <w:spacing w:after="0"/>
            </w:pPr>
            <w:r/>
            <w:r>
              <w:rPr>
                <w:rFonts w:ascii="Liberation Sans" w:hAnsi="Liberation Sans"/>
                <w:b/>
                <w:color w:val="3A5A78"/>
                <w:sz w:val="17"/>
              </w:rPr>
              <w:t>Versie / uitgiftedatum</w:t>
            </w:r>
          </w:p>
        </w:tc>
        <w:tc>
          <w:tcPr>
            <w:tcW w:type="dxa" w:w="5100"/>
          </w:tcPr>
          <w:p>
            <w:pPr>
              <w:spacing w:after="0"/>
            </w:pPr>
            <w:r/>
            <w:r>
              <w:rPr>
                <w:rFonts w:ascii="Liberation Sans" w:hAnsi="Liberation Sans"/>
                <w:b w:val="0"/>
                <w:color w:val="1A1008"/>
                <w:sz w:val="17"/>
              </w:rPr>
              <w:t>1.0 / 28 augustus 2026</w:t>
            </w:r>
          </w:p>
        </w:tc>
      </w:tr>
      <w:tr>
        <w:tc>
          <w:tcPr>
            <w:tcW w:type="dxa" w:w="5100"/>
            <w:shd w:fill="F7F2E8"/>
          </w:tcPr>
          <w:p>
            <w:pPr>
              <w:spacing w:after="0"/>
            </w:pPr>
            <w:r/>
            <w:r>
              <w:rPr>
                <w:rFonts w:ascii="Liberation Sans" w:hAnsi="Liberation Sans"/>
                <w:b/>
                <w:color w:val="3A5A78"/>
                <w:sz w:val="17"/>
              </w:rPr>
              <w:t>Documenteigenaar</w:t>
            </w:r>
          </w:p>
        </w:tc>
        <w:tc>
          <w:tcPr>
            <w:tcW w:type="dxa" w:w="5100"/>
          </w:tcPr>
          <w:p>
            <w:pPr>
              <w:spacing w:after="0"/>
            </w:pPr>
            <w:r/>
            <w:r>
              <w:rPr>
                <w:rFonts w:ascii="Liberation Sans" w:hAnsi="Liberation Sans"/>
                <w:b w:val="0"/>
                <w:color w:val="1A1008"/>
                <w:sz w:val="17"/>
              </w:rPr>
              <w:t>Schmeitzke, handelend onder de namen Summa en Summa Labs</w:t>
            </w:r>
          </w:p>
        </w:tc>
      </w:tr>
      <w:tr>
        <w:tc>
          <w:tcPr>
            <w:tcW w:type="dxa" w:w="5100"/>
            <w:shd w:fill="F7F2E8"/>
          </w:tcPr>
          <w:p>
            <w:pPr>
              <w:spacing w:after="0"/>
            </w:pPr>
            <w:r/>
            <w:r>
              <w:rPr>
                <w:rFonts w:ascii="Liberation Sans" w:hAnsi="Liberation Sans"/>
                <w:b/>
                <w:color w:val="3A5A78"/>
                <w:sz w:val="17"/>
              </w:rPr>
              <w:t>Classificatie</w:t>
            </w:r>
          </w:p>
        </w:tc>
        <w:tc>
          <w:tcPr>
            <w:tcW w:type="dxa" w:w="5100"/>
          </w:tcPr>
          <w:p>
            <w:pPr>
              <w:spacing w:after="0"/>
            </w:pPr>
            <w:r/>
            <w:r>
              <w:rPr>
                <w:rFonts w:ascii="Liberation Sans" w:hAnsi="Liberation Sans"/>
                <w:b w:val="0"/>
                <w:color w:val="1A1008"/>
                <w:sz w:val="17"/>
              </w:rPr>
              <w:t>Publiek / contractueel</w:t>
            </w:r>
          </w:p>
        </w:tc>
      </w:tr>
    </w:tbl>
    <w:p/>
    <w:p>
      <w:pPr>
        <w:pStyle w:val="Heading1"/>
      </w:pPr>
      <w:r>
        <w:t>1. Toepasselijkheid en contractstructuur</w:t>
      </w:r>
    </w:p>
    <w:p>
      <w:pPr>
        <w:spacing w:after="100"/>
      </w:pPr>
      <w:r>
        <w:t>Deze voorwaarden gelden voor organisaties die een zakelijke Summa-werkruimte gebruiken, voor zover partijen niet schriftelijk anders overeenkomen. De overeenkomst bestaat uit de door de klant geaccepteerde commerciële afspraken, deze voorwaarden, de toepasselijke verwerkersovereenkomst, het gebruiksbeleid, de dienstbeschrijving/SLA en toepasselijke product- of beveiligingsbijlagen.</w:t>
      </w:r>
    </w:p>
    <w:p>
      <w:pPr>
        <w:spacing w:after="100"/>
      </w:pPr>
      <w:r>
        <w:t>Voor een gemeente die GIBIT 2025 toepast, prevaleert de door de gemeente vastgestelde contractdocumentatie en de daarin gekozen GIBIT-bepalingen. Deze Summa-voorwaarden gelden dan uitsluitend voor zover zij uitdrukkelijk zijn opgenomen en niet conflicteren met hoger gerangschikte gemeentelijke documenten.</w:t>
      </w:r>
    </w:p>
    <w:p>
      <w:pPr>
        <w:pStyle w:val="Heading1"/>
      </w:pPr>
      <w:r>
        <w:t>2. Leverancier en dienst</w:t>
      </w:r>
    </w:p>
    <w:p>
      <w:pPr>
        <w:spacing w:after="100"/>
      </w:pPr>
      <w:r>
        <w:t>De leverancier is Schmeitzke, KVK 91878381, gevestigd te Maastricht en handelend onder Summa/Summa Labs. Summa verleent een online AI-werkruimte met generatieve AI, bestanden, kennisbronnen, tools, samenwerking, beheer- en auditfuncties zoals beschreven in de actuele Dienstbeschrijving.</w:t>
      </w:r>
    </w:p>
    <w:p>
      <w:pPr>
        <w:spacing w:after="100"/>
      </w:pPr>
      <w:r>
        <w:t>Functionaliteiten kunnen wegens veiligheid, technische afhankelijkheden of productontwikkeling wijzigen. Een materiële vermindering van overeengekomen kernfunctionaliteit of beveiligingsniveau wordt niet zonder redelijke kennisgeving doorgevoerd, behoudens urgente security-, wettelijke of misbruikmaatregelen.</w:t>
      </w:r>
    </w:p>
    <w:p>
      <w:pPr>
        <w:pStyle w:val="Heading1"/>
      </w:pPr>
      <w:r>
        <w:t>3. Accounts, bevoegdheden en beheer</w:t>
      </w:r>
    </w:p>
    <w:p>
      <w:pPr>
        <w:spacing w:after="100"/>
      </w:pPr>
      <w:r>
        <w:t>De klant wijst bevoegde beheerders aan en is verantwoordelijk voor correcte toekenning van rollen, toegang, SSO/MFA-beleid, beëindiging van accounts en de rechtmatigheid van uitnodigingen. Gebruikers delen geen accounts of authenticatiegeheimen. Summa mag passende verificatie eisen voor administratieve handelingen.</w:t>
      </w:r>
    </w:p>
    <w:p>
      <w:pPr>
        <w:spacing w:after="100"/>
      </w:pPr>
      <w:r>
        <w:t>De klant bepaalt welke optionele integraties en tools binnen de organisatie zijn toegestaan. Een beheerder mag toegang tot connectoren, bedrijfskennis, Teams- of CRM-functies beperken. Provider-native rechten blijven leidend; Summa mag geen rechten creëren die de gebruiker bij de bronprovider niet heeft.</w:t>
      </w:r>
    </w:p>
    <w:p>
      <w:pPr>
        <w:pStyle w:val="Heading1"/>
      </w:pPr>
      <w:r>
        <w:t>4. Klantdata en privacyrollen</w:t>
      </w:r>
    </w:p>
    <w:p>
      <w:pPr>
        <w:spacing w:after="100"/>
      </w:pPr>
      <w:r>
        <w:t>Klantdata omvat de door of namens de klant ingevoerde, geüploade, geïmporteerde of gegenereerde werkruimte-inhoud. De klant behoudt rechten op eigen data en is verantwoordelijk voor de rechtmatige verkrijging, instructies, informatie aan betrokkenen, gegevensclassificatie en interne autorisaties.</w:t>
      </w:r>
    </w:p>
    <w:p>
      <w:pPr>
        <w:spacing w:after="100"/>
      </w:pPr>
      <w:r>
        <w:t>Voor persoonsgegevens in de zakelijke werkruimte is de klant in beginsel verwerkingsverantwoordelijke en Summa verwerker. Voor eigen contract-, account-, facturatie-, beveiligings- en wettelijke administratie kan Summa zelfstandig verwerkingsverantwoordelijke zijn. De toepasselijke DPA of gemeentelijke VWO regelt de verwerkersrelatie.</w:t>
      </w:r>
    </w:p>
    <w:p>
      <w:pPr>
        <w:spacing w:after="100"/>
      </w:pPr>
      <w:r>
        <w:t>Summa gebruikt klantdata niet om het algemene model te trainen of fine-tunen zonder een afzonderlijke schriftelijke afspraak waarin doel, grondslag, dataset, bewaartermijn en rechten zijn geregeld.</w:t>
      </w:r>
    </w:p>
    <w:p>
      <w:pPr>
        <w:pStyle w:val="Heading1"/>
      </w:pPr>
      <w:r>
        <w:t>5. Vertrouwelijkheid</w:t>
      </w:r>
    </w:p>
    <w:p>
      <w:pPr>
        <w:spacing w:after="100"/>
      </w:pPr>
      <w:r>
        <w:t>Partijen behandelen niet-openbare informatie die naar haar aard of aanduiding vertrouwelijk is als vertrouwelijk, gebruiken die alleen voor de uitvoering van de overeenkomst en geven toegang uitsluitend aan personen die deze informatie nodig hebben en aan passende geheimhouding zijn gebonden. Deze verplichting geldt niet voor informatie die aantoonbaar rechtmatig openbaar was, onafhankelijk is ontwikkeld of rechtmatig van een derde is ontvangen.</w:t>
      </w:r>
    </w:p>
    <w:p>
      <w:pPr>
        <w:spacing w:after="100"/>
      </w:pPr>
      <w:r>
        <w:t>Een wettelijk verplicht openbaarmakings- of autoriteitsverzoek wordt zoveel mogelijk beperkt tot wat juridisch vereist is. Summa informeert de klant vooraf tenzij de wet dat verbiedt.</w:t>
      </w:r>
    </w:p>
    <w:p>
      <w:pPr>
        <w:pStyle w:val="Heading1"/>
      </w:pPr>
      <w:r>
        <w:t>6. AI-output en menselijke verantwoordelijkheid</w:t>
      </w:r>
    </w:p>
    <w:p>
      <w:pPr>
        <w:spacing w:after="100"/>
      </w:pPr>
      <w:r>
        <w:t>AI-output is probabilistisch en kan fouten, hallucinaties, vertekening, verouderde informatie of onjuiste broninterpretatie bevatten. De klant blijft verantwoordelijk voor menselijke controle voordat output wordt gebruikt voor besluiten, publicatie, juridisch/financieel advies, uitvoering van rechten of andere materiële handelingen.</w:t>
      </w:r>
    </w:p>
    <w:p>
      <w:pPr>
        <w:spacing w:after="100"/>
      </w:pPr>
      <w:r>
        <w:t>Zonder afzonderlijke schriftelijke beoordeling en technische/contractuele inrichting mag Summa niet worden gebruikt als enige beslissingsgrond voor hoog-impactbesluiten over personen, waaronder publieke uitkeringen/rechten, arbeidsselectie, krediet/verzekering, huisvesting, strafrechtelijke beoordeling, biometrische identificatie of medische besluitvorming.</w:t>
      </w:r>
    </w:p>
    <w:p>
      <w:pPr>
        <w:pStyle w:val="Heading1"/>
      </w:pPr>
      <w:r>
        <w:t>7. Tools en externe gegevensbronnen</w:t>
      </w:r>
    </w:p>
    <w:p>
      <w:pPr>
        <w:spacing w:after="100"/>
      </w:pPr>
      <w:r>
        <w:t>Een tool kan gegevens naar een externe dienst sturen wanneer dat inherent is aan de gekozen functie, bijvoorbeeld een zoekterm naar een webzoekprovider of een OAuth-verzoek naar een door de klant gekozen Microsoft-, Google-, Dropbox-, GitHub-, GitLab- of Salesforce-account. De actuele gegevensstromen en datalocaties staan in het ketenregister.</w:t>
      </w:r>
    </w:p>
    <w:p>
      <w:pPr>
        <w:spacing w:after="100"/>
      </w:pPr>
      <w:r>
        <w:t>De klant blijft verantwoordelijk voor licenties, accounts en gebruiksrechten bij diensten die hij zelf koppelt. Summa beperkt scopes en egress waar technisch mogelijk en past aanvullende tenantpolicies toe, maar kan provider-native toegangsmodellen niet wijzigen.</w:t>
      </w:r>
    </w:p>
    <w:p>
      <w:pPr>
        <w:pStyle w:val="Heading1"/>
      </w:pPr>
      <w:r>
        <w:t>8. Beveiliging</w:t>
      </w:r>
    </w:p>
    <w:p>
      <w:pPr>
        <w:spacing w:after="100"/>
      </w:pPr>
      <w:r>
        <w:t>Summa onderhoudt de in de TOM-bijlage beschreven maatregelen en verlaagt het totale overeengekomen beveiligingsniveau niet materieel zonder geldige reden en passende communicatie. De klant is verantwoordelijk voor endpointbeveiliging, interne gegevensclassificatie, gebruikersbeheer, veilige identiteitsproviderconfiguratie en het voorkomen van onnodige invoer van gevoelige data.</w:t>
      </w:r>
    </w:p>
    <w:p>
      <w:pPr>
        <w:spacing w:after="100"/>
      </w:pPr>
      <w:r>
        <w:t>Securityincidenten worden afgehandeld volgens het incidentplan en, waar Summa verwerker is, zonder onredelijke vertraging aan de klant gemeld. Het interne doel is initiële klantmelding binnen 24 uur nadat een inbreuk op klantpersoonsgegevens is bevestigd, met updates wanneer feiten beschikbaar komen.</w:t>
      </w:r>
    </w:p>
    <w:p>
      <w:pPr>
        <w:pStyle w:val="Heading1"/>
      </w:pPr>
      <w:r>
        <w:t>9. Beschikbaarheid, onderhoud en support</w:t>
      </w:r>
    </w:p>
    <w:p>
      <w:pPr>
        <w:spacing w:after="100"/>
      </w:pPr>
      <w:r>
        <w:t>De toepasselijke servicelevels staan in de Dienstbeschrijving, SLA en supportbeleid. Pilot- en bètaomgevingen zijn expliciet niet bedoeld als enige opslaglocatie voor bedrijfskritische informatie. Op de datum van deze versie is geen off-cluster productiebackup actief; een klant mag daarom niet aannemen dat Summa verloren data kan herstellen totdat schriftelijk een productie-backupregime is bevestigd.</w:t>
      </w:r>
    </w:p>
    <w:p>
      <w:pPr>
        <w:pStyle w:val="Heading1"/>
      </w:pPr>
      <w:r>
        <w:t>10. Vergoeding, facturatie en belastingen</w:t>
      </w:r>
    </w:p>
    <w:p>
      <w:pPr>
        <w:spacing w:after="100"/>
      </w:pPr>
      <w:r>
        <w:t>Prijzen voor zakelijke klanten zijn exclusief btw tenzij anders vermeld. Facturatie en betaalperiode volgen de commerciële afspraak. De klant betaalt onbetwiste bedragen binnen de overeengekomen termijn. Summa brengt geen niet-vooraf-bekendgemaakte AI-tokenoverage in rekening.</w:t>
      </w:r>
    </w:p>
    <w:p>
      <w:pPr>
        <w:spacing w:after="100"/>
      </w:pPr>
      <w:r>
        <w:t>Bij wanbetaling kan Summa na redelijke aanmaning toegang beperken, behalve waar opschorting disproportioneel zou zijn of strijdig is met dwingend recht. Voor urgente beveiligings- of onrechtmatige situaties kan onmiddellijke beperkte opschorting noodzakelijk zijn.</w:t>
      </w:r>
    </w:p>
    <w:p>
      <w:pPr>
        <w:pStyle w:val="Heading1"/>
      </w:pPr>
      <w:r>
        <w:t>11. Intellectuele eigendom</w:t>
      </w:r>
    </w:p>
    <w:p>
      <w:pPr>
        <w:spacing w:after="100"/>
      </w:pPr>
      <w:r>
        <w:t>Summa en haar licentiegevers behouden rechten op de dienst, broncode, interfaces, model-servingarchitectuur, documentatie, merk en generieke knowhow. De klant ontvangt voor de looptijd een niet-exclusief, niet-overdraagbaar gebruiksrecht voor intern zakelijk gebruik, behoudens wettelijk of schriftelijk toegestane overdracht.</w:t>
      </w:r>
    </w:p>
    <w:p>
      <w:pPr>
        <w:spacing w:after="100"/>
      </w:pPr>
      <w:r>
        <w:t>De klant behoudt zijn rechten op input. Voor AI-output geldt dat exclusiviteit of auteursrechtelijke bescherming niet wordt gegarandeerd en vergelijkbare output aan anderen mogelijk is. Summa draagt geen rechten over die zij zelf niet bezit.</w:t>
      </w:r>
    </w:p>
    <w:p>
      <w:pPr>
        <w:pStyle w:val="Heading1"/>
      </w:pPr>
      <w:r>
        <w:t>12. Derdenprogrammatuur en open source</w:t>
      </w:r>
    </w:p>
    <w:p>
      <w:pPr>
        <w:spacing w:after="100"/>
      </w:pPr>
      <w:r>
        <w:t>Summa gebruikt open-source- en derdencomponenten. Verplichte licentieteksten, bronverwijzingen en relevante beperkingen worden bijgehouden in het softwareketen-/licentieregister en release-SBOM. Derdenvoorwaarden kunnen alleen voor het betreffende onderdeel gelden voor zover rechtmatig en transparant vooraf kenbaar gemaakt.</w:t>
      </w:r>
    </w:p>
    <w:p>
      <w:pPr>
        <w:pStyle w:val="Heading1"/>
      </w:pPr>
      <w:r>
        <w:t>13. Looptijd, opzegging en beëindiging</w:t>
      </w:r>
    </w:p>
    <w:p>
      <w:pPr>
        <w:spacing w:after="100"/>
      </w:pPr>
      <w:r>
        <w:t>De looptijd volgt de commerciële afspraak. Bij een maandabonnement kan de klant tegen het einde van de lopende betaalperiode opzeggen tenzij anders overeengekomen. Bij een jaarcontract geldt de schriftelijk overeengekomen opzegtermijn; een consumentenachtige stilzwijgende verlenging wordt niet op zakelijke klanten toegepast tenzij expliciet overeengekomen.</w:t>
      </w:r>
    </w:p>
    <w:p>
      <w:pPr>
        <w:spacing w:after="100"/>
      </w:pPr>
      <w:r>
        <w:t>Een partij kan ontbinden bij een wezenlijke tekortkoming die niet binnen 30 dagen na schriftelijke ingebrekestelling is hersteld, tenzij herstel onmogelijk is of onmiddellijke beëindiging juridisch gerechtvaardigd is. Summa kan de dienst beëindigen wanneer voortzetting onrechtmatig wordt.</w:t>
      </w:r>
    </w:p>
    <w:p>
      <w:pPr>
        <w:pStyle w:val="Heading1"/>
      </w:pPr>
      <w:r>
        <w:t>14. Exit en EU Data Act</w:t>
      </w:r>
    </w:p>
    <w:p>
      <w:pPr>
        <w:spacing w:after="100"/>
      </w:pPr>
      <w:r>
        <w:t>De klant kan tijdens de looptijd relevante data exporteren in gestructureerde gangbare formaten zoals JSON, CSV en bestanden in hun beschikbare formaat. Bij beëindiging biedt Summa een redelijke overgangsperiode en medewerking conform het actuele Exit- en Overstapbeleid. De maximale standaardopzegtermijn voor een Data Act-switch wordt niet langer dan twee maanden vastgesteld; de standaard transitiefase bedraagt maximaal 30 kalenderdagen en kan op verzoek waar de Data Act dat vereist worden verlengd.</w:t>
      </w:r>
    </w:p>
    <w:p>
      <w:pPr>
        <w:spacing w:after="100"/>
      </w:pPr>
      <w:r>
        <w:t>Vanaf 12 januari 2027 brengt Summa geen switching charges in rekening voor het wettelijk gedefinieerde overstapproces. Tot die datum worden evenmin punitieve exitkosten gehanteerd; uitsluitend aantoonbare buitengewone maatwerkondersteuning kan na voorafgaande schriftelijke instemming worden gefactureerd voor zover wettelijk toegestaan.</w:t>
      </w:r>
    </w:p>
    <w:p>
      <w:pPr>
        <w:pStyle w:val="Heading1"/>
      </w:pPr>
      <w:r>
        <w:t>15. Garanties en professionele zorg</w:t>
      </w:r>
    </w:p>
    <w:p>
      <w:pPr>
        <w:spacing w:after="100"/>
      </w:pPr>
      <w:r>
        <w:t>Summa levert de dienst met redelijke vakbekwaamheid, onderhoudt de overeengekomen beveiligingsmaatregelen en handelt naar toepasselijk recht dat rechtstreeks op haar rol van toepassing is. Summa garandeert niet dat AI-output feitelijk juist, uniek, vrij van rechten van derden of geschikt is voor ongecontroleerde beslissingen.</w:t>
      </w:r>
    </w:p>
    <w:p>
      <w:pPr>
        <w:pStyle w:val="Heading1"/>
      </w:pPr>
      <w:r>
        <w:t>16. Aansprakelijkheid</w:t>
      </w:r>
    </w:p>
    <w:p>
      <w:pPr>
        <w:spacing w:after="100"/>
      </w:pPr>
      <w:r>
        <w:t>Voor gewone zakelijke overeenkomsten die niet door GIBIT of een andere specifieke aansprakelijkheidsregeling worden beheerst, is de totale aansprakelijkheid van iedere partij voor toerekenbare tekortkomingen beperkt tot het bedrag dat de klant in de twaalf maanden voorafgaand aan de schadeveroorzakende gebeurtenis voor de betrokken dienst heeft betaald of verschuldigd is. Voor schending van vertrouwelijkheid, een aan Summa toerekenbare schending van de DPA of het niet onderhouden van uitdrukkelijk overeengekomen beveiligingsmaatregelen geldt een afzonderlijke totale limiet van tweemaal dat bedrag.</w:t>
      </w:r>
    </w:p>
    <w:p>
      <w:pPr>
        <w:spacing w:after="100"/>
      </w:pPr>
      <w:r>
        <w:t>Deze beperkingen gelden niet voor aansprakelijkheid die wettelijk niet kan worden uitgesloten of beperkt, opzet of bewuste roekeloosheid van de leiding, overlijden/lichamelijk letsel door verwijtbaar handelen, onbetaalde vergoedingen en door een partij veroorzaakte inbreuk door onbevoegd gebruik van intellectuele eigendom van de andere partij.</w:t>
      </w:r>
    </w:p>
    <w:p>
      <w:pPr>
        <w:spacing w:after="100"/>
      </w:pPr>
      <w:r>
        <w:t>Indirecte, gevolg- en gederfde-winstschade wordt uitgesloten voor zover wettelijk toegestaan. Bij gemeenten geldt in plaats hiervan de in de gemeentelijke overeenkomst/GIBIT gekozen aansprakelijkheidsregeling.</w:t>
      </w:r>
    </w:p>
    <w:p>
      <w:pPr>
        <w:pStyle w:val="Heading1"/>
      </w:pPr>
      <w:r>
        <w:t>17. Overmacht</w:t>
      </w:r>
    </w:p>
    <w:p>
      <w:pPr>
        <w:spacing w:after="100"/>
      </w:pPr>
      <w:r>
        <w:t>Geen partij is aansprakelijk voor niet-nakoming door een buiten haar redelijke macht gelegen gebeurtenis die ondanks passende maatregelen niet kon worden voorkomen, mits zij de andere partij snel informeert, gevolgen beperkt en continuïteitsmaatregelen toepast. Personeelstekort, voorzienbare capaciteitsproblemen of het ontbreken van normaal noodzakelijke beveiligingsmaatregelen gelden niet automatisch als overmacht.</w:t>
      </w:r>
    </w:p>
    <w:p>
      <w:pPr>
        <w:pStyle w:val="Heading1"/>
      </w:pPr>
      <w:r>
        <w:t>18. Recht en geschillen</w:t>
      </w:r>
    </w:p>
    <w:p>
      <w:pPr>
        <w:spacing w:after="100"/>
      </w:pPr>
      <w:r>
        <w:t>Nederlands recht is van toepassing. Partijen escaleren een geschil eerst naar bevoegde vertegenwoordigers en proberen binnen 30 dagen een zakelijke oplossing te bereiken. Voor gewone zakelijke overeenkomsten is de rechtbank Limburg, locatie Maastricht, bevoegd, tenzij dwingend recht of een gemeentelijke/GIBIT-overeenkomst anders bepaalt.</w:t>
      </w:r>
    </w:p>
    <w:sectPr w:rsidR="00FC693F" w:rsidRPr="0006063C" w:rsidSect="00034616">
      <w:headerReference w:type="default" r:id="rId9"/>
      <w:footerReference w:type="default" r:id="rId10"/>
      <w:pgSz w:w="12240" w:h="15840"/>
      <w:pgMar w:top="964" w:right="1020" w:bottom="964"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color w:val="6E6257"/>
        <w:sz w:val="14"/>
      </w:rPr>
      <w:t xml:space="preserve">Zakelijke SaaS-voorwaarden  •  v1.0  •  </w:t>
    </w:r>
    <w: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right"/>
    </w:pPr>
    <w:r>
      <w:rPr>
        <w:b/>
        <w:color w:val="3A5A78"/>
        <w:sz w:val="15"/>
      </w:rPr>
      <w:t>SUMMA  /  COMPLIANCE &amp; TRUST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Liberation Sans" w:hAnsi="Liberation Sans"/>
      <w:color w:val="1A1008"/>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80"/>
      <w:outlineLvl w:val="0"/>
    </w:pPr>
    <w:rPr>
      <w:rFonts w:asciiTheme="majorHAnsi" w:eastAsiaTheme="majorEastAsia" w:hAnsiTheme="majorHAnsi" w:cstheme="majorBidi" w:ascii="Liberation Sans" w:hAnsi="Liberation Sans"/>
      <w:b/>
      <w:bCs/>
      <w:color w:val="3A5A78"/>
      <w:sz w:val="30"/>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Liberation Sans" w:hAnsi="Liberation Sans"/>
      <w:b/>
      <w:bCs/>
      <w:color w:val="C8963E"/>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Liberation Sans" w:hAnsi="Liberation Sans"/>
      <w:b/>
      <w:bCs/>
      <w:color w:val="3A5A78"/>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80" w:line="240" w:lineRule="auto" w:before="160"/>
      <w:contextualSpacing/>
    </w:pPr>
    <w:rPr>
      <w:rFonts w:asciiTheme="majorHAnsi" w:eastAsiaTheme="majorEastAsia" w:hAnsiTheme="majorHAnsi" w:cstheme="majorBidi" w:ascii="Liberation Sans" w:hAnsi="Liberation Sans"/>
      <w:b/>
      <w:color w:val="1A1008"/>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Summa</dc:creator>
  <cp:keywords/>
  <dc:description/>
  <cp:lastModifiedBy>Summa</cp:lastModifiedBy>
  <cp:revision>1</cp:revision>
  <dcterms:created xsi:type="dcterms:W3CDTF">2013-12-23T23:15:00Z</dcterms:created>
  <dcterms:modified xsi:type="dcterms:W3CDTF">2013-12-23T23:15:00Z</dcterms:modified>
  <cp:category/>
</cp:coreProperties>
</file>