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left"/>
      </w:pPr>
      <w:r>
        <w:t>Architectuur, gegevensstromen, soevereiniteit en overheidsverzoeken</w:t>
      </w:r>
    </w:p>
    <w:tbl>
      <w:tblPr>
        <w:tblStyle w:val="TableGrid"/>
        <w:tblW w:type="auto" w:w="0"/>
        <w:jc w:val="left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  <w:shd w:fill="F7F2E8"/>
          </w:tcPr>
          <w:p>
            <w:pPr>
              <w:spacing w:after="0"/>
            </w:pPr>
            <w:r/>
            <w:r>
              <w:rPr>
                <w:rFonts w:ascii="Liberation Sans" w:hAnsi="Liberation Sans"/>
                <w:b/>
                <w:color w:val="3A5A78"/>
                <w:sz w:val="17"/>
              </w:rPr>
              <w:t>Status</w:t>
            </w:r>
          </w:p>
        </w:tc>
        <w:tc>
          <w:tcPr>
            <w:tcW w:type="dxa" w:w="5100"/>
          </w:tcPr>
          <w:p>
            <w:pPr>
              <w:spacing w:after="0"/>
            </w:pPr>
            <w:r/>
            <w:r>
              <w:rPr>
                <w:rFonts w:ascii="Liberation Sans" w:hAnsi="Liberation Sans"/>
                <w:b w:val="0"/>
                <w:color w:val="1A1008"/>
                <w:sz w:val="17"/>
              </w:rPr>
              <w:t>Geldend leveranciersdocument</w:t>
            </w:r>
          </w:p>
        </w:tc>
      </w:tr>
      <w:tr>
        <w:tc>
          <w:tcPr>
            <w:tcW w:type="dxa" w:w="5100"/>
            <w:shd w:fill="F7F2E8"/>
          </w:tcPr>
          <w:p>
            <w:pPr>
              <w:spacing w:after="0"/>
            </w:pPr>
            <w:r/>
            <w:r>
              <w:rPr>
                <w:rFonts w:ascii="Liberation Sans" w:hAnsi="Liberation Sans"/>
                <w:b/>
                <w:color w:val="3A5A78"/>
                <w:sz w:val="17"/>
              </w:rPr>
              <w:t>Versie / uitgiftedatum</w:t>
            </w:r>
          </w:p>
        </w:tc>
        <w:tc>
          <w:tcPr>
            <w:tcW w:type="dxa" w:w="5100"/>
          </w:tcPr>
          <w:p>
            <w:pPr>
              <w:spacing w:after="0"/>
            </w:pPr>
            <w:r/>
            <w:r>
              <w:rPr>
                <w:rFonts w:ascii="Liberation Sans" w:hAnsi="Liberation Sans"/>
                <w:b w:val="0"/>
                <w:color w:val="1A1008"/>
                <w:sz w:val="17"/>
              </w:rPr>
              <w:t>1.0 / 28 augustus 2026</w:t>
            </w:r>
          </w:p>
        </w:tc>
      </w:tr>
      <w:tr>
        <w:tc>
          <w:tcPr>
            <w:tcW w:type="dxa" w:w="5100"/>
            <w:shd w:fill="F7F2E8"/>
          </w:tcPr>
          <w:p>
            <w:pPr>
              <w:spacing w:after="0"/>
            </w:pPr>
            <w:r/>
            <w:r>
              <w:rPr>
                <w:rFonts w:ascii="Liberation Sans" w:hAnsi="Liberation Sans"/>
                <w:b/>
                <w:color w:val="3A5A78"/>
                <w:sz w:val="17"/>
              </w:rPr>
              <w:t>Documenteigenaar</w:t>
            </w:r>
          </w:p>
        </w:tc>
        <w:tc>
          <w:tcPr>
            <w:tcW w:type="dxa" w:w="5100"/>
          </w:tcPr>
          <w:p>
            <w:pPr>
              <w:spacing w:after="0"/>
            </w:pPr>
            <w:r/>
            <w:r>
              <w:rPr>
                <w:rFonts w:ascii="Liberation Sans" w:hAnsi="Liberation Sans"/>
                <w:b w:val="0"/>
                <w:color w:val="1A1008"/>
                <w:sz w:val="17"/>
              </w:rPr>
              <w:t>Schmeitzke, handelend onder de namen Summa en Summa Labs</w:t>
            </w:r>
          </w:p>
        </w:tc>
      </w:tr>
      <w:tr>
        <w:tc>
          <w:tcPr>
            <w:tcW w:type="dxa" w:w="5100"/>
            <w:shd w:fill="F7F2E8"/>
          </w:tcPr>
          <w:p>
            <w:pPr>
              <w:spacing w:after="0"/>
            </w:pPr>
            <w:r/>
            <w:r>
              <w:rPr>
                <w:rFonts w:ascii="Liberation Sans" w:hAnsi="Liberation Sans"/>
                <w:b/>
                <w:color w:val="3A5A78"/>
                <w:sz w:val="17"/>
              </w:rPr>
              <w:t>Classificatie</w:t>
            </w:r>
          </w:p>
        </w:tc>
        <w:tc>
          <w:tcPr>
            <w:tcW w:type="dxa" w:w="5100"/>
          </w:tcPr>
          <w:p>
            <w:pPr>
              <w:spacing w:after="0"/>
            </w:pPr>
            <w:r/>
            <w:r>
              <w:rPr>
                <w:rFonts w:ascii="Liberation Sans" w:hAnsi="Liberation Sans"/>
                <w:b w:val="0"/>
                <w:color w:val="1A1008"/>
                <w:sz w:val="17"/>
              </w:rPr>
              <w:t>Publiek / due diligence</w:t>
            </w:r>
          </w:p>
        </w:tc>
      </w:tr>
    </w:tbl>
    <w:p/>
    <w:p>
      <w:pPr>
        <w:pStyle w:val="Heading1"/>
      </w:pPr>
      <w:r>
        <w:t>1. Soevereiniteit als controlemodel</w:t>
      </w:r>
    </w:p>
    <w:p>
      <w:pPr>
        <w:spacing w:after="100"/>
      </w:pPr>
      <w:r>
        <w:t>Summa gebruikt het woord soevereiniteit uitsluitend voor aantoonbare controle over locatie, jurisdictie, toegang, afhankelijkheden en exit. EU-dataresidentie alleen is niet hetzelfde als digitale soevereiniteit. Daarom maakt dit document uitzonderingen zichtbaar in plaats van een absoluut "alles blijft in Nederland"-statement.</w:t>
      </w:r>
    </w:p>
    <w:p>
      <w:pPr>
        <w:pStyle w:val="Heading1"/>
      </w:pPr>
      <w:r>
        <w:t>2. Actuele hoofdarchitectuur</w:t>
      </w:r>
    </w:p>
    <w:tbl>
      <w:tblPr>
        <w:tblStyle w:val="TableGrid"/>
        <w:tblW w:type="auto" w:w="0"/>
        <w:jc w:val="left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3400"/>
            <w:shd w:fill="3A5A78"/>
            <w:vAlign w:val="center"/>
          </w:tcPr>
          <w:p>
            <w:pPr>
              <w:spacing w:after="0"/>
            </w:pPr>
            <w:r/>
            <w:r>
              <w:rPr>
                <w:rFonts w:ascii="Liberation Sans" w:hAnsi="Liberation Sans"/>
                <w:b/>
                <w:color w:val="FFFFFF"/>
                <w:sz w:val="16"/>
              </w:rPr>
              <w:t>Laag</w:t>
            </w:r>
          </w:p>
        </w:tc>
        <w:tc>
          <w:tcPr>
            <w:tcW w:type="dxa" w:w="3400"/>
            <w:shd w:fill="3A5A78"/>
            <w:vAlign w:val="center"/>
          </w:tcPr>
          <w:p>
            <w:pPr>
              <w:spacing w:after="0"/>
            </w:pPr>
            <w:r/>
            <w:r>
              <w:rPr>
                <w:rFonts w:ascii="Liberation Sans" w:hAnsi="Liberation Sans"/>
                <w:b/>
                <w:color w:val="FFFFFF"/>
                <w:sz w:val="16"/>
              </w:rPr>
              <w:t>Component / locatie</w:t>
            </w:r>
          </w:p>
        </w:tc>
        <w:tc>
          <w:tcPr>
            <w:tcW w:type="dxa" w:w="3400"/>
            <w:shd w:fill="3A5A78"/>
            <w:vAlign w:val="center"/>
          </w:tcPr>
          <w:p>
            <w:pPr>
              <w:spacing w:after="0"/>
            </w:pPr>
            <w:r/>
            <w:r>
              <w:rPr>
                <w:rFonts w:ascii="Liberation Sans" w:hAnsi="Liberation Sans"/>
                <w:b/>
                <w:color w:val="FFFFFF"/>
                <w:sz w:val="16"/>
              </w:rPr>
              <w:t>Vertrouwensgrens</w:t>
            </w:r>
          </w:p>
        </w:tc>
      </w:tr>
      <w:tr>
        <w:tc>
          <w:tcPr>
            <w:tcW w:type="dxa" w:w="3400"/>
            <w:vAlign w:val="top"/>
          </w:tcPr>
          <w:p>
            <w:pPr>
              <w:spacing w:after="0"/>
            </w:pPr>
            <w:r/>
            <w:r>
              <w:rPr>
                <w:rFonts w:ascii="Liberation Sans" w:hAnsi="Liberation Sans"/>
                <w:b w:val="0"/>
                <w:color w:val="1A1008"/>
                <w:sz w:val="16"/>
              </w:rPr>
              <w:t>Publieke toegang</w:t>
            </w:r>
          </w:p>
        </w:tc>
        <w:tc>
          <w:tcPr>
            <w:tcW w:type="dxa" w:w="3400"/>
            <w:vAlign w:val="top"/>
          </w:tcPr>
          <w:p>
            <w:pPr>
              <w:spacing w:after="0"/>
            </w:pPr>
            <w:r/>
            <w:r>
              <w:rPr>
                <w:rFonts w:ascii="Liberation Sans" w:hAnsi="Liberation Sans"/>
                <w:b w:val="0"/>
                <w:color w:val="1A1008"/>
                <w:sz w:val="16"/>
              </w:rPr>
              <w:t>Leafcloud LB + ingress-nginx, Nederland</w:t>
            </w:r>
          </w:p>
        </w:tc>
        <w:tc>
          <w:tcPr>
            <w:tcW w:type="dxa" w:w="3400"/>
            <w:vAlign w:val="top"/>
          </w:tcPr>
          <w:p>
            <w:pPr>
              <w:spacing w:after="0"/>
            </w:pPr>
            <w:r/>
            <w:r>
              <w:rPr>
                <w:rFonts w:ascii="Liberation Sans" w:hAnsi="Liberation Sans"/>
                <w:b w:val="0"/>
                <w:color w:val="1A1008"/>
                <w:sz w:val="16"/>
              </w:rPr>
              <w:t>TLS-ingang en routering</w:t>
            </w:r>
          </w:p>
        </w:tc>
      </w:tr>
      <w:tr>
        <w:tc>
          <w:tcPr>
            <w:tcW w:type="dxa" w:w="3400"/>
            <w:vAlign w:val="top"/>
            <w:shd w:fill="FBF8F2"/>
          </w:tcPr>
          <w:p>
            <w:pPr>
              <w:spacing w:after="0"/>
            </w:pPr>
            <w:r/>
            <w:r>
              <w:rPr>
                <w:rFonts w:ascii="Liberation Sans" w:hAnsi="Liberation Sans"/>
                <w:b w:val="0"/>
                <w:color w:val="1A1008"/>
                <w:sz w:val="16"/>
              </w:rPr>
              <w:t>Webapp</w:t>
            </w:r>
          </w:p>
        </w:tc>
        <w:tc>
          <w:tcPr>
            <w:tcW w:type="dxa" w:w="3400"/>
            <w:vAlign w:val="top"/>
            <w:shd w:fill="FBF8F2"/>
          </w:tcPr>
          <w:p>
            <w:pPr>
              <w:spacing w:after="0"/>
            </w:pPr>
            <w:r/>
            <w:r>
              <w:rPr>
                <w:rFonts w:ascii="Liberation Sans" w:hAnsi="Liberation Sans"/>
                <w:b w:val="0"/>
                <w:color w:val="1A1008"/>
                <w:sz w:val="16"/>
              </w:rPr>
              <w:t>Next.js, Leafcloud Nederland</w:t>
            </w:r>
          </w:p>
        </w:tc>
        <w:tc>
          <w:tcPr>
            <w:tcW w:type="dxa" w:w="3400"/>
            <w:vAlign w:val="top"/>
            <w:shd w:fill="FBF8F2"/>
          </w:tcPr>
          <w:p>
            <w:pPr>
              <w:spacing w:after="0"/>
            </w:pPr>
            <w:r/>
            <w:r>
              <w:rPr>
                <w:rFonts w:ascii="Liberation Sans" w:hAnsi="Liberation Sans"/>
                <w:b w:val="0"/>
                <w:color w:val="1A1008"/>
                <w:sz w:val="16"/>
              </w:rPr>
              <w:t>Geen directe database/modeltoegang</w:t>
            </w:r>
          </w:p>
        </w:tc>
      </w:tr>
      <w:tr>
        <w:tc>
          <w:tcPr>
            <w:tcW w:type="dxa" w:w="3400"/>
            <w:vAlign w:val="top"/>
          </w:tcPr>
          <w:p>
            <w:pPr>
              <w:spacing w:after="0"/>
            </w:pPr>
            <w:r/>
            <w:r>
              <w:rPr>
                <w:rFonts w:ascii="Liberation Sans" w:hAnsi="Liberation Sans"/>
                <w:b w:val="0"/>
                <w:color w:val="1A1008"/>
                <w:sz w:val="16"/>
              </w:rPr>
              <w:t>Beleidslaag</w:t>
            </w:r>
          </w:p>
        </w:tc>
        <w:tc>
          <w:tcPr>
            <w:tcW w:type="dxa" w:w="3400"/>
            <w:vAlign w:val="top"/>
          </w:tcPr>
          <w:p>
            <w:pPr>
              <w:spacing w:after="0"/>
            </w:pPr>
            <w:r/>
            <w:r>
              <w:rPr>
                <w:rFonts w:ascii="Liberation Sans" w:hAnsi="Liberation Sans"/>
                <w:b w:val="0"/>
                <w:color w:val="1A1008"/>
                <w:sz w:val="16"/>
              </w:rPr>
              <w:t>FastAPI, Leafcloud Nederland</w:t>
            </w:r>
          </w:p>
        </w:tc>
        <w:tc>
          <w:tcPr>
            <w:tcW w:type="dxa" w:w="3400"/>
            <w:vAlign w:val="top"/>
          </w:tcPr>
          <w:p>
            <w:pPr>
              <w:spacing w:after="0"/>
            </w:pPr>
            <w:r/>
            <w:r>
              <w:rPr>
                <w:rFonts w:ascii="Liberation Sans" w:hAnsi="Liberation Sans"/>
                <w:b w:val="0"/>
                <w:color w:val="1A1008"/>
                <w:sz w:val="16"/>
              </w:rPr>
              <w:t>Authenticatie, tenantcontext, autorisatie, quota, toolbeleid</w:t>
            </w:r>
          </w:p>
        </w:tc>
      </w:tr>
      <w:tr>
        <w:tc>
          <w:tcPr>
            <w:tcW w:type="dxa" w:w="3400"/>
            <w:vAlign w:val="top"/>
            <w:shd w:fill="FBF8F2"/>
          </w:tcPr>
          <w:p>
            <w:pPr>
              <w:spacing w:after="0"/>
            </w:pPr>
            <w:r/>
            <w:r>
              <w:rPr>
                <w:rFonts w:ascii="Liberation Sans" w:hAnsi="Liberation Sans"/>
                <w:b w:val="0"/>
                <w:color w:val="1A1008"/>
                <w:sz w:val="16"/>
              </w:rPr>
              <w:t>Identity</w:t>
            </w:r>
          </w:p>
        </w:tc>
        <w:tc>
          <w:tcPr>
            <w:tcW w:type="dxa" w:w="3400"/>
            <w:vAlign w:val="top"/>
            <w:shd w:fill="FBF8F2"/>
          </w:tcPr>
          <w:p>
            <w:pPr>
              <w:spacing w:after="0"/>
            </w:pPr>
            <w:r/>
            <w:r>
              <w:rPr>
                <w:rFonts w:ascii="Liberation Sans" w:hAnsi="Liberation Sans"/>
                <w:b w:val="0"/>
                <w:color w:val="1A1008"/>
                <w:sz w:val="16"/>
              </w:rPr>
              <w:t>Zelfgehost ZITADEL, Leafcloud Nederland</w:t>
            </w:r>
          </w:p>
        </w:tc>
        <w:tc>
          <w:tcPr>
            <w:tcW w:type="dxa" w:w="3400"/>
            <w:vAlign w:val="top"/>
            <w:shd w:fill="FBF8F2"/>
          </w:tcPr>
          <w:p>
            <w:pPr>
              <w:spacing w:after="0"/>
            </w:pPr>
            <w:r/>
            <w:r>
              <w:rPr>
                <w:rFonts w:ascii="Liberation Sans" w:hAnsi="Liberation Sans"/>
                <w:b w:val="0"/>
                <w:color w:val="1A1008"/>
                <w:sz w:val="16"/>
              </w:rPr>
              <w:t>OIDC/identiteit</w:t>
            </w:r>
          </w:p>
        </w:tc>
      </w:tr>
      <w:tr>
        <w:tc>
          <w:tcPr>
            <w:tcW w:type="dxa" w:w="3400"/>
            <w:vAlign w:val="top"/>
          </w:tcPr>
          <w:p>
            <w:pPr>
              <w:spacing w:after="0"/>
            </w:pPr>
            <w:r/>
            <w:r>
              <w:rPr>
                <w:rFonts w:ascii="Liberation Sans" w:hAnsi="Liberation Sans"/>
                <w:b w:val="0"/>
                <w:color w:val="1A1008"/>
                <w:sz w:val="16"/>
              </w:rPr>
              <w:t>Data</w:t>
            </w:r>
          </w:p>
        </w:tc>
        <w:tc>
          <w:tcPr>
            <w:tcW w:type="dxa" w:w="3400"/>
            <w:vAlign w:val="top"/>
          </w:tcPr>
          <w:p>
            <w:pPr>
              <w:spacing w:after="0"/>
            </w:pPr>
            <w:r/>
            <w:r>
              <w:rPr>
                <w:rFonts w:ascii="Liberation Sans" w:hAnsi="Liberation Sans"/>
                <w:b w:val="0"/>
                <w:color w:val="1A1008"/>
                <w:sz w:val="16"/>
              </w:rPr>
              <w:t>PostgreSQL/pgvector, Redis, private MinIO, Nederland</w:t>
            </w:r>
          </w:p>
        </w:tc>
        <w:tc>
          <w:tcPr>
            <w:tcW w:type="dxa" w:w="3400"/>
            <w:vAlign w:val="top"/>
          </w:tcPr>
          <w:p>
            <w:pPr>
              <w:spacing w:after="0"/>
            </w:pPr>
            <w:r/>
            <w:r>
              <w:rPr>
                <w:rFonts w:ascii="Liberation Sans" w:hAnsi="Liberation Sans"/>
                <w:b w:val="0"/>
                <w:color w:val="1A1008"/>
                <w:sz w:val="16"/>
              </w:rPr>
              <w:t>Tenantdata, files, cache</w:t>
            </w:r>
          </w:p>
        </w:tc>
      </w:tr>
      <w:tr>
        <w:tc>
          <w:tcPr>
            <w:tcW w:type="dxa" w:w="3400"/>
            <w:vAlign w:val="top"/>
            <w:shd w:fill="FBF8F2"/>
          </w:tcPr>
          <w:p>
            <w:pPr>
              <w:spacing w:after="0"/>
            </w:pPr>
            <w:r/>
            <w:r>
              <w:rPr>
                <w:rFonts w:ascii="Liberation Sans" w:hAnsi="Liberation Sans"/>
                <w:b w:val="0"/>
                <w:color w:val="1A1008"/>
                <w:sz w:val="16"/>
              </w:rPr>
              <w:t>Tools</w:t>
            </w:r>
          </w:p>
        </w:tc>
        <w:tc>
          <w:tcPr>
            <w:tcW w:type="dxa" w:w="3400"/>
            <w:vAlign w:val="top"/>
            <w:shd w:fill="FBF8F2"/>
          </w:tcPr>
          <w:p>
            <w:pPr>
              <w:spacing w:after="0"/>
            </w:pPr>
            <w:r/>
            <w:r>
              <w:rPr>
                <w:rFonts w:ascii="Liberation Sans" w:hAnsi="Liberation Sans"/>
                <w:b w:val="0"/>
                <w:color w:val="1A1008"/>
                <w:sz w:val="16"/>
              </w:rPr>
              <w:t>First-party workers/services, Nederland</w:t>
            </w:r>
          </w:p>
        </w:tc>
        <w:tc>
          <w:tcPr>
            <w:tcW w:type="dxa" w:w="3400"/>
            <w:vAlign w:val="top"/>
            <w:shd w:fill="FBF8F2"/>
          </w:tcPr>
          <w:p>
            <w:pPr>
              <w:spacing w:after="0"/>
            </w:pPr>
            <w:r/>
            <w:r>
              <w:rPr>
                <w:rFonts w:ascii="Liberation Sans" w:hAnsi="Liberation Sans"/>
                <w:b w:val="0"/>
                <w:color w:val="1A1008"/>
                <w:sz w:val="16"/>
              </w:rPr>
              <w:t>Attachment, artefacten, Python, web broker, connectors</w:t>
            </w:r>
          </w:p>
        </w:tc>
      </w:tr>
      <w:tr>
        <w:tc>
          <w:tcPr>
            <w:tcW w:type="dxa" w:w="3400"/>
            <w:vAlign w:val="top"/>
          </w:tcPr>
          <w:p>
            <w:pPr>
              <w:spacing w:after="0"/>
            </w:pPr>
            <w:r/>
            <w:r>
              <w:rPr>
                <w:rFonts w:ascii="Liberation Sans" w:hAnsi="Liberation Sans"/>
                <w:b w:val="0"/>
                <w:color w:val="1A1008"/>
                <w:sz w:val="16"/>
              </w:rPr>
              <w:t>Modelgateway</w:t>
            </w:r>
          </w:p>
        </w:tc>
        <w:tc>
          <w:tcPr>
            <w:tcW w:type="dxa" w:w="3400"/>
            <w:vAlign w:val="top"/>
          </w:tcPr>
          <w:p>
            <w:pPr>
              <w:spacing w:after="0"/>
            </w:pPr>
            <w:r/>
            <w:r>
              <w:rPr>
                <w:rFonts w:ascii="Liberation Sans" w:hAnsi="Liberation Sans"/>
                <w:b w:val="0"/>
                <w:color w:val="1A1008"/>
                <w:sz w:val="16"/>
              </w:rPr>
              <w:t>Bifrost, Leafcloud Nederland</w:t>
            </w:r>
          </w:p>
        </w:tc>
        <w:tc>
          <w:tcPr>
            <w:tcW w:type="dxa" w:w="3400"/>
            <w:vAlign w:val="top"/>
          </w:tcPr>
          <w:p>
            <w:pPr>
              <w:spacing w:after="0"/>
            </w:pPr>
            <w:r/>
            <w:r>
              <w:rPr>
                <w:rFonts w:ascii="Liberation Sans" w:hAnsi="Liberation Sans"/>
                <w:b w:val="0"/>
                <w:color w:val="1A1008"/>
                <w:sz w:val="16"/>
              </w:rPr>
              <w:t>Geauthenticeerde interne modelroute</w:t>
            </w:r>
          </w:p>
        </w:tc>
      </w:tr>
      <w:tr>
        <w:tc>
          <w:tcPr>
            <w:tcW w:type="dxa" w:w="3400"/>
            <w:vAlign w:val="top"/>
            <w:shd w:fill="FBF8F2"/>
          </w:tcPr>
          <w:p>
            <w:pPr>
              <w:spacing w:after="0"/>
            </w:pPr>
            <w:r/>
            <w:r>
              <w:rPr>
                <w:rFonts w:ascii="Liberation Sans" w:hAnsi="Liberation Sans"/>
                <w:b w:val="0"/>
                <w:color w:val="1A1008"/>
                <w:sz w:val="16"/>
              </w:rPr>
              <w:t>Actieve inference</w:t>
            </w:r>
          </w:p>
        </w:tc>
        <w:tc>
          <w:tcPr>
            <w:tcW w:type="dxa" w:w="3400"/>
            <w:vAlign w:val="top"/>
            <w:shd w:fill="FBF8F2"/>
          </w:tcPr>
          <w:p>
            <w:pPr>
              <w:spacing w:after="0"/>
            </w:pPr>
            <w:r/>
            <w:r>
              <w:rPr>
                <w:rFonts w:ascii="Liberation Sans" w:hAnsi="Liberation Sans"/>
                <w:b w:val="0"/>
                <w:color w:val="1A1008"/>
                <w:sz w:val="16"/>
              </w:rPr>
              <w:t>Leafcloud, Nederland; NVIDIA RTX 6000-serie</w:t>
            </w:r>
          </w:p>
        </w:tc>
        <w:tc>
          <w:tcPr>
            <w:tcW w:type="dxa" w:w="3400"/>
            <w:vAlign w:val="top"/>
            <w:shd w:fill="FBF8F2"/>
          </w:tcPr>
          <w:p>
            <w:pPr>
              <w:spacing w:after="0"/>
            </w:pPr>
            <w:r/>
            <w:r>
              <w:rPr>
                <w:rFonts w:ascii="Liberation Sans" w:hAnsi="Liberation Sans"/>
                <w:b w:val="0"/>
                <w:color w:val="1A1008"/>
                <w:sz w:val="16"/>
              </w:rPr>
              <w:t>Zelfgehoste vLLM-inference binnen de Nederlandse Leafcloud-omgeving</w:t>
            </w:r>
          </w:p>
        </w:tc>
      </w:tr>
    </w:tbl>
    <w:p/>
    <w:p>
      <w:pPr>
        <w:pStyle w:val="Heading1"/>
      </w:pPr>
      <w:r>
        <w:t>3. Normale chatgegevensstroom</w:t>
      </w:r>
    </w:p>
    <w:p>
      <w:pPr>
        <w:pStyle w:val="ListNumber"/>
        <w:spacing w:after="40"/>
        <w:ind w:left="227"/>
      </w:pPr>
      <w:r>
        <w:t>Gebruiker authenticatie via ZITADEL.</w:t>
      </w:r>
    </w:p>
    <w:p>
      <w:pPr>
        <w:pStyle w:val="ListNumber"/>
        <w:spacing w:after="40"/>
        <w:ind w:left="227"/>
      </w:pPr>
      <w:r>
        <w:t>Browser stuurt request naar Next.js/backend.</w:t>
      </w:r>
    </w:p>
    <w:p>
      <w:pPr>
        <w:pStyle w:val="ListNumber"/>
        <w:spacing w:after="40"/>
        <w:ind w:left="227"/>
      </w:pPr>
      <w:r>
        <w:t>Backend valideert identity, tenant, room/projectrechten en gebruikslimieten.</w:t>
      </w:r>
    </w:p>
    <w:p>
      <w:pPr>
        <w:pStyle w:val="ListNumber"/>
        <w:spacing w:after="40"/>
        <w:ind w:left="227"/>
      </w:pPr>
      <w:r>
        <w:t>Backend stelt alleen de voor de run benodigde context/toolresultaten samen.</w:t>
      </w:r>
    </w:p>
    <w:p>
      <w:pPr>
        <w:pStyle w:val="ListNumber"/>
        <w:spacing w:after="40"/>
        <w:ind w:left="227"/>
      </w:pPr>
      <w:r>
        <w:t>Via de interne Bifrost-route wordt modelcontext naar de zelfgehoste vLLM-inference op Leafcloud RTX 6000-serie GPU's gestuurd.</w:t>
      </w:r>
    </w:p>
    <w:p>
      <w:pPr>
        <w:pStyle w:val="ListNumber"/>
        <w:spacing w:after="40"/>
        <w:ind w:left="227"/>
      </w:pPr>
      <w:r>
        <w:t>Gegenereerde tokens keren via dezelfde route terug.</w:t>
      </w:r>
    </w:p>
    <w:p>
      <w:pPr>
        <w:pStyle w:val="ListNumber"/>
        <w:spacing w:after="40"/>
        <w:ind w:left="227"/>
      </w:pPr>
      <w:r>
        <w:t>Het resultaat wordt volgens tenantretentie in Nederland opgeslagen.</w:t>
      </w:r>
    </w:p>
    <w:p>
      <w:pPr>
        <w:spacing w:after="100"/>
      </w:pPr>
      <w:r>
        <w:t>Er is geen gewone browser-to-modelverbinding en geen automatische fallback naar een commerciële externe model-API in de beschreven route.</w:t>
      </w:r>
    </w:p>
    <w:p>
      <w:pPr>
        <w:pStyle w:val="Heading1"/>
      </w:pPr>
      <w:r>
        <w:t>4. Bestanden en bedrijfskennis</w:t>
      </w:r>
    </w:p>
    <w:p>
      <w:pPr>
        <w:spacing w:after="100"/>
      </w:pPr>
      <w:r>
        <w:t>Uploads worden in Nederland opgeslagen, malwaregescand en verwerkt via Tika/OCR. Grote documenten kunnen als retrieval/searchbron worden geïndexeerd in de eigen dataomgeving. Bedrijfskennis is tenantgebonden en alleen beschikbaar volgens tenant-/access policies.</w:t>
      </w:r>
    </w:p>
    <w:p>
      <w:pPr>
        <w:spacing w:after="100"/>
      </w:pPr>
      <w:r>
        <w:t>Bij een externe bron wordt uitsluitend de benodigde brondata geïmporteerd of live gelezen volgens de connector. Na import valt de kopie onder Summa-retentie, tenzij de specifieke functie anders is beschreven.</w:t>
      </w:r>
    </w:p>
    <w:p>
      <w:pPr>
        <w:pStyle w:val="Heading1"/>
      </w:pPr>
      <w:r>
        <w:t>5. Webresearch</w:t>
      </w:r>
    </w:p>
    <w:p>
      <w:pPr>
        <w:spacing w:after="100"/>
      </w:pPr>
      <w:r>
        <w:t>Webzoekvragen gaan van backend naar de in-cluster web-retrievalbroker en vervolgens naar Linkup. Openen van een URL gebeurt bij voorkeur rechtstreeks vanuit de broker met SSRF-beveiliging; bij bepaalde publisher-statuscodes kan Linkup Fetch worden gebruikt. Webcontent is onbetrouwbare externe input en krijgt geen systeemautoriteit.</w:t>
      </w:r>
    </w:p>
    <w:p>
      <w:pPr>
        <w:pStyle w:val="Heading1"/>
      </w:pPr>
      <w:r>
        <w:t>6. Meetings</w:t>
      </w:r>
    </w:p>
    <w:p>
      <w:pPr>
        <w:spacing w:after="100"/>
      </w:pPr>
      <w:r>
        <w:t>Wanneer Teams is toegestaan, synchroniseert een achtergrondtaak kalender-metadata binnen een beperkt tijdvenster. Transcript, attendance en optionele chat worden niet puur door kalenderdetectie ingelezen; verwerking vereist een relevante gebruikers-/autoprocessactie en providerbevoegdheid. Een transcript kan uitspraken van externe deelnemers bevatten. Ruwe bronnen zijn standaard 90 dagen bewaard; afgeleide notities vallen onder tenantretentie.</w:t>
      </w:r>
    </w:p>
    <w:p>
      <w:pPr>
        <w:pStyle w:val="Heading1"/>
      </w:pPr>
      <w:r>
        <w:t>7. Persoonlijk geheugen en samenwerken</w:t>
      </w:r>
    </w:p>
    <w:p>
      <w:pPr>
        <w:spacing w:after="100"/>
      </w:pPr>
      <w:r>
        <w:t>Persoonlijk geheugen is een afzonderlijke duurzame gegevensklasse, versleuteld en bedoeld voor de betreffende gebruiker; het is geen algemene beheerderkennisbron. Gedeelde rooms kunnen deelnemers uit andere tenants bevatten via expliciete membership/invitation; de hosttenant blijft gegevenshouder van de room en guesttoegang wordt expliciet gere-scoped na membershipcontrole.</w:t>
      </w:r>
    </w:p>
    <w:p>
      <w:pPr>
        <w:pStyle w:val="Heading1"/>
      </w:pPr>
      <w:r>
        <w:t>8. Locatie versus rechtsmacht</w:t>
      </w:r>
    </w:p>
    <w:tbl>
      <w:tblPr>
        <w:tblStyle w:val="TableGrid"/>
        <w:tblW w:type="auto" w:w="0"/>
        <w:jc w:val="left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  <w:shd w:fill="3A5A78"/>
            <w:vAlign w:val="center"/>
          </w:tcPr>
          <w:p>
            <w:pPr>
              <w:spacing w:after="0"/>
            </w:pPr>
            <w:r/>
            <w:r>
              <w:rPr>
                <w:rFonts w:ascii="Liberation Sans" w:hAnsi="Liberation Sans"/>
                <w:b/>
                <w:color w:val="FFFFFF"/>
                <w:sz w:val="16"/>
              </w:rPr>
              <w:t>Aspect</w:t>
            </w:r>
          </w:p>
        </w:tc>
        <w:tc>
          <w:tcPr>
            <w:tcW w:type="dxa" w:w="5100"/>
            <w:shd w:fill="3A5A78"/>
            <w:vAlign w:val="center"/>
          </w:tcPr>
          <w:p>
            <w:pPr>
              <w:spacing w:after="0"/>
            </w:pPr>
            <w:r/>
            <w:r>
              <w:rPr>
                <w:rFonts w:ascii="Liberation Sans" w:hAnsi="Liberation Sans"/>
                <w:b/>
                <w:color w:val="FFFFFF"/>
                <w:sz w:val="16"/>
              </w:rPr>
              <w:t>Huidige positie</w:t>
            </w:r>
          </w:p>
        </w:tc>
      </w:tr>
      <w:tr>
        <w:tc>
          <w:tcPr>
            <w:tcW w:type="dxa" w:w="5100"/>
            <w:vAlign w:val="top"/>
          </w:tcPr>
          <w:p>
            <w:pPr>
              <w:spacing w:after="0"/>
            </w:pPr>
            <w:r/>
            <w:r>
              <w:rPr>
                <w:rFonts w:ascii="Liberation Sans" w:hAnsi="Liberation Sans"/>
                <w:b w:val="0"/>
                <w:color w:val="1A1008"/>
                <w:sz w:val="16"/>
              </w:rPr>
              <w:t>Kernopslag</w:t>
            </w:r>
          </w:p>
        </w:tc>
        <w:tc>
          <w:tcPr>
            <w:tcW w:type="dxa" w:w="5100"/>
            <w:vAlign w:val="top"/>
          </w:tcPr>
          <w:p>
            <w:pPr>
              <w:spacing w:after="0"/>
            </w:pPr>
            <w:r/>
            <w:r>
              <w:rPr>
                <w:rFonts w:ascii="Liberation Sans" w:hAnsi="Liberation Sans"/>
                <w:b w:val="0"/>
                <w:color w:val="1A1008"/>
                <w:sz w:val="16"/>
              </w:rPr>
              <w:t>Nederland</w:t>
            </w:r>
          </w:p>
        </w:tc>
      </w:tr>
      <w:tr>
        <w:tc>
          <w:tcPr>
            <w:tcW w:type="dxa" w:w="5100"/>
            <w:vAlign w:val="top"/>
            <w:shd w:fill="FBF8F2"/>
          </w:tcPr>
          <w:p>
            <w:pPr>
              <w:spacing w:after="0"/>
            </w:pPr>
            <w:r/>
            <w:r>
              <w:rPr>
                <w:rFonts w:ascii="Liberation Sans" w:hAnsi="Liberation Sans"/>
                <w:b w:val="0"/>
                <w:color w:val="1A1008"/>
                <w:sz w:val="16"/>
              </w:rPr>
              <w:t>Identity</w:t>
            </w:r>
          </w:p>
        </w:tc>
        <w:tc>
          <w:tcPr>
            <w:tcW w:type="dxa" w:w="5100"/>
            <w:vAlign w:val="top"/>
            <w:shd w:fill="FBF8F2"/>
          </w:tcPr>
          <w:p>
            <w:pPr>
              <w:spacing w:after="0"/>
            </w:pPr>
            <w:r/>
            <w:r>
              <w:rPr>
                <w:rFonts w:ascii="Liberation Sans" w:hAnsi="Liberation Sans"/>
                <w:b w:val="0"/>
                <w:color w:val="1A1008"/>
                <w:sz w:val="16"/>
              </w:rPr>
              <w:t>Nederland</w:t>
            </w:r>
          </w:p>
        </w:tc>
      </w:tr>
      <w:tr>
        <w:tc>
          <w:tcPr>
            <w:tcW w:type="dxa" w:w="5100"/>
            <w:vAlign w:val="top"/>
          </w:tcPr>
          <w:p>
            <w:pPr>
              <w:spacing w:after="0"/>
            </w:pPr>
            <w:r/>
            <w:r>
              <w:rPr>
                <w:rFonts w:ascii="Liberation Sans" w:hAnsi="Liberation Sans"/>
                <w:b w:val="0"/>
                <w:color w:val="1A1008"/>
                <w:sz w:val="16"/>
              </w:rPr>
              <w:t>Kernapplicatie</w:t>
            </w:r>
          </w:p>
        </w:tc>
        <w:tc>
          <w:tcPr>
            <w:tcW w:type="dxa" w:w="5100"/>
            <w:vAlign w:val="top"/>
          </w:tcPr>
          <w:p>
            <w:pPr>
              <w:spacing w:after="0"/>
            </w:pPr>
            <w:r/>
            <w:r>
              <w:rPr>
                <w:rFonts w:ascii="Liberation Sans" w:hAnsi="Liberation Sans"/>
                <w:b w:val="0"/>
                <w:color w:val="1A1008"/>
                <w:sz w:val="16"/>
              </w:rPr>
              <w:t>Nederland</w:t>
            </w:r>
          </w:p>
        </w:tc>
      </w:tr>
      <w:tr>
        <w:tc>
          <w:tcPr>
            <w:tcW w:type="dxa" w:w="5100"/>
            <w:vAlign w:val="top"/>
            <w:shd w:fill="FBF8F2"/>
          </w:tcPr>
          <w:p>
            <w:pPr>
              <w:spacing w:after="0"/>
            </w:pPr>
            <w:r/>
            <w:r>
              <w:rPr>
                <w:rFonts w:ascii="Liberation Sans" w:hAnsi="Liberation Sans"/>
                <w:b w:val="0"/>
                <w:color w:val="1A1008"/>
                <w:sz w:val="16"/>
              </w:rPr>
              <w:t>Actieve inference</w:t>
            </w:r>
          </w:p>
        </w:tc>
        <w:tc>
          <w:tcPr>
            <w:tcW w:type="dxa" w:w="5100"/>
            <w:vAlign w:val="top"/>
            <w:shd w:fill="FBF8F2"/>
          </w:tcPr>
          <w:p>
            <w:pPr>
              <w:spacing w:after="0"/>
            </w:pPr>
            <w:r/>
            <w:r>
              <w:rPr>
                <w:rFonts w:ascii="Liberation Sans" w:hAnsi="Liberation Sans"/>
                <w:b w:val="0"/>
                <w:color w:val="1A1008"/>
                <w:sz w:val="16"/>
              </w:rPr>
              <w:t>Nederland (Leafcloud, NVIDIA RTX 6000-serie)</w:t>
            </w:r>
          </w:p>
        </w:tc>
      </w:tr>
      <w:tr>
        <w:tc>
          <w:tcPr>
            <w:tcW w:type="dxa" w:w="5100"/>
            <w:vAlign w:val="top"/>
          </w:tcPr>
          <w:p>
            <w:pPr>
              <w:spacing w:after="0"/>
            </w:pPr>
            <w:r/>
            <w:r>
              <w:rPr>
                <w:rFonts w:ascii="Liberation Sans" w:hAnsi="Liberation Sans"/>
                <w:b w:val="0"/>
                <w:color w:val="1A1008"/>
                <w:sz w:val="16"/>
              </w:rPr>
              <w:t>Transactionele mail</w:t>
            </w:r>
          </w:p>
        </w:tc>
        <w:tc>
          <w:tcPr>
            <w:tcW w:type="dxa" w:w="5100"/>
            <w:vAlign w:val="top"/>
          </w:tcPr>
          <w:p>
            <w:pPr>
              <w:spacing w:after="0"/>
            </w:pPr>
            <w:r/>
            <w:r>
              <w:rPr>
                <w:rFonts w:ascii="Liberation Sans" w:hAnsi="Liberation Sans"/>
                <w:b w:val="0"/>
                <w:color w:val="1A1008"/>
                <w:sz w:val="16"/>
              </w:rPr>
              <w:t>Resend, verwerking mede VS</w:t>
            </w:r>
          </w:p>
        </w:tc>
      </w:tr>
      <w:tr>
        <w:tc>
          <w:tcPr>
            <w:tcW w:type="dxa" w:w="5100"/>
            <w:vAlign w:val="top"/>
            <w:shd w:fill="FBF8F2"/>
          </w:tcPr>
          <w:p>
            <w:pPr>
              <w:spacing w:after="0"/>
            </w:pPr>
            <w:r/>
            <w:r>
              <w:rPr>
                <w:rFonts w:ascii="Liberation Sans" w:hAnsi="Liberation Sans"/>
                <w:b w:val="0"/>
                <w:color w:val="1A1008"/>
                <w:sz w:val="16"/>
              </w:rPr>
              <w:t>Betaling</w:t>
            </w:r>
          </w:p>
        </w:tc>
        <w:tc>
          <w:tcPr>
            <w:tcW w:type="dxa" w:w="5100"/>
            <w:vAlign w:val="top"/>
            <w:shd w:fill="FBF8F2"/>
          </w:tcPr>
          <w:p>
            <w:pPr>
              <w:spacing w:after="0"/>
            </w:pPr>
            <w:r/>
            <w:r>
              <w:rPr>
                <w:rFonts w:ascii="Liberation Sans" w:hAnsi="Liberation Sans"/>
                <w:b w:val="0"/>
                <w:color w:val="1A1008"/>
                <w:sz w:val="16"/>
              </w:rPr>
              <w:t>Stripe, mondiale infrastructuur afhankelijk van rol</w:t>
            </w:r>
          </w:p>
        </w:tc>
      </w:tr>
      <w:tr>
        <w:tc>
          <w:tcPr>
            <w:tcW w:type="dxa" w:w="5100"/>
            <w:vAlign w:val="top"/>
          </w:tcPr>
          <w:p>
            <w:pPr>
              <w:spacing w:after="0"/>
            </w:pPr>
            <w:r/>
            <w:r>
              <w:rPr>
                <w:rFonts w:ascii="Liberation Sans" w:hAnsi="Liberation Sans"/>
                <w:b w:val="0"/>
                <w:color w:val="1A1008"/>
                <w:sz w:val="16"/>
              </w:rPr>
              <w:t>Websearch</w:t>
            </w:r>
          </w:p>
        </w:tc>
        <w:tc>
          <w:tcPr>
            <w:tcW w:type="dxa" w:w="5100"/>
            <w:vAlign w:val="top"/>
          </w:tcPr>
          <w:p>
            <w:pPr>
              <w:spacing w:after="0"/>
            </w:pPr>
            <w:r/>
            <w:r>
              <w:rPr>
                <w:rFonts w:ascii="Liberation Sans" w:hAnsi="Liberation Sans"/>
                <w:b w:val="0"/>
                <w:color w:val="1A1008"/>
                <w:sz w:val="16"/>
              </w:rPr>
              <w:t>Linkup Frankrijk/EU voor search; websites kunnen wereldwijd staan</w:t>
            </w:r>
          </w:p>
        </w:tc>
      </w:tr>
      <w:tr>
        <w:tc>
          <w:tcPr>
            <w:tcW w:type="dxa" w:w="5100"/>
            <w:vAlign w:val="top"/>
            <w:shd w:fill="FBF8F2"/>
          </w:tcPr>
          <w:p>
            <w:pPr>
              <w:spacing w:after="0"/>
            </w:pPr>
            <w:r/>
            <w:r>
              <w:rPr>
                <w:rFonts w:ascii="Liberation Sans" w:hAnsi="Liberation Sans"/>
                <w:b w:val="0"/>
                <w:color w:val="1A1008"/>
                <w:sz w:val="16"/>
              </w:rPr>
              <w:t>Klantgekozen connectors</w:t>
            </w:r>
          </w:p>
        </w:tc>
        <w:tc>
          <w:tcPr>
            <w:tcW w:type="dxa" w:w="5100"/>
            <w:vAlign w:val="top"/>
            <w:shd w:fill="FBF8F2"/>
          </w:tcPr>
          <w:p>
            <w:pPr>
              <w:spacing w:after="0"/>
            </w:pPr>
            <w:r/>
            <w:r>
              <w:rPr>
                <w:rFonts w:ascii="Liberation Sans" w:hAnsi="Liberation Sans"/>
                <w:b w:val="0"/>
                <w:color w:val="1A1008"/>
                <w:sz w:val="16"/>
              </w:rPr>
              <w:t>Rechtsmacht/provider van klantbron kan variëren</w:t>
            </w:r>
          </w:p>
        </w:tc>
      </w:tr>
    </w:tbl>
    <w:p/>
    <w:p>
      <w:pPr>
        <w:spacing w:after="100"/>
      </w:pPr>
      <w:r>
        <w:t>Daarom claimt Summa op uitgiftedatum **geen volledig Nederlands** dataverwerkingspad en **geen absolute EU-only verwerking** voor alle ondersteunende functies.</w:t>
      </w:r>
    </w:p>
    <w:p>
      <w:pPr>
        <w:pStyle w:val="Heading1"/>
      </w:pPr>
      <w:r>
        <w:t>9. Buitenlandse overheidsverzoeken</w:t>
      </w:r>
    </w:p>
    <w:p>
      <w:pPr>
        <w:spacing w:after="100"/>
      </w:pPr>
      <w:r>
        <w:t>Voor klantgegevens geldt het volgende interne beleid:</w:t>
      </w:r>
    </w:p>
    <w:p>
      <w:pPr>
        <w:pStyle w:val="ListBullet"/>
        <w:spacing w:after="40"/>
        <w:ind w:left="227"/>
      </w:pPr>
      <w:r>
        <w:t>toegang wordt niet vrijwillig verstrekt zonder geldige rechtsgrond;</w:t>
      </w:r>
    </w:p>
    <w:p>
      <w:pPr>
        <w:pStyle w:val="ListBullet"/>
        <w:spacing w:after="40"/>
        <w:ind w:left="227"/>
      </w:pPr>
      <w:r>
        <w:t>identiteit/bevoegdheid van de verzoekende instantie en territoriale/juridische basis worden gecontroleerd;</w:t>
      </w:r>
    </w:p>
    <w:p>
      <w:pPr>
        <w:pStyle w:val="ListBullet"/>
        <w:spacing w:after="40"/>
        <w:ind w:left="227"/>
      </w:pPr>
      <w:r>
        <w:t>reikwijdte wordt geminimaliseerd tot wat juridisch verplicht is;</w:t>
      </w:r>
    </w:p>
    <w:p>
      <w:pPr>
        <w:pStyle w:val="ListBullet"/>
        <w:spacing w:after="40"/>
        <w:ind w:left="227"/>
      </w:pPr>
      <w:r>
        <w:t>ongeldige of disproportionele verzoeken worden waar redelijk/juridisch mogelijk bestreden;</w:t>
      </w:r>
    </w:p>
    <w:p>
      <w:pPr>
        <w:pStyle w:val="ListBullet"/>
        <w:spacing w:after="40"/>
        <w:ind w:left="227"/>
      </w:pPr>
      <w:r>
        <w:t>klant wordt geïnformeerd tenzij wet dit verbiedt;</w:t>
      </w:r>
    </w:p>
    <w:p>
      <w:pPr>
        <w:pStyle w:val="ListBullet"/>
        <w:spacing w:after="40"/>
        <w:ind w:left="227"/>
      </w:pPr>
      <w:r>
        <w:t>verzoeken en besluitvorming worden geregistreerd;</w:t>
      </w:r>
    </w:p>
    <w:p>
      <w:pPr>
        <w:pStyle w:val="ListBullet"/>
        <w:spacing w:after="40"/>
        <w:ind w:left="227"/>
      </w:pPr>
      <w:r>
        <w:t>contractuele/providermaatregelen worden gebruikt om conflict met EU-recht te beperken.</w:t>
      </w:r>
    </w:p>
    <w:p>
      <w:pPr>
        <w:spacing w:after="100"/>
      </w:pPr>
      <w:r>
        <w:t>Dit ondersteunt tevens de transparantie over internationale toegang die voor data-processing services onder de Data Act relevant is.</w:t>
      </w:r>
    </w:p>
    <w:p>
      <w:pPr>
        <w:pStyle w:val="Heading1"/>
      </w:pPr>
      <w:r>
        <w:t>10. Striktere gemeentelijke deploymentprofielen</w:t>
      </w:r>
    </w:p>
    <w:p>
      <w:pPr>
        <w:spacing w:after="100"/>
      </w:pPr>
      <w:r>
        <w:t>Een gemeente kan een schriftelijk restrictieprofiel overeenkomen, bijvoorbeeld:</w:t>
      </w:r>
    </w:p>
    <w:p>
      <w:pPr>
        <w:pStyle w:val="ListBullet"/>
        <w:spacing w:after="40"/>
        <w:ind w:left="227"/>
      </w:pPr>
      <w:r>
        <w:t>alleen EER-subprocessors in het klantcontentpad;</w:t>
      </w:r>
    </w:p>
    <w:p>
      <w:pPr>
        <w:pStyle w:val="ListBullet"/>
        <w:spacing w:after="40"/>
        <w:ind w:left="227"/>
      </w:pPr>
      <w:r>
        <w:t>inference uitsluitend Nederland;</w:t>
      </w:r>
    </w:p>
    <w:p>
      <w:pPr>
        <w:pStyle w:val="ListBullet"/>
        <w:spacing w:after="40"/>
        <w:ind w:left="227"/>
      </w:pPr>
      <w:r>
        <w:t>transactionele mails zonder inhoud en/of EER-only mailprovider;</w:t>
      </w:r>
    </w:p>
    <w:p>
      <w:pPr>
        <w:pStyle w:val="ListBullet"/>
        <w:spacing w:after="40"/>
        <w:ind w:left="227"/>
      </w:pPr>
      <w:r>
        <w:t>connectorallowlist per tenant;</w:t>
      </w:r>
    </w:p>
    <w:p>
      <w:pPr>
        <w:pStyle w:val="ListBullet"/>
        <w:spacing w:after="40"/>
        <w:ind w:left="227"/>
      </w:pPr>
      <w:r>
        <w:t>Teams/chatcapture uit;</w:t>
      </w:r>
    </w:p>
    <w:p>
      <w:pPr>
        <w:pStyle w:val="ListBullet"/>
        <w:spacing w:after="40"/>
        <w:ind w:left="227"/>
      </w:pPr>
      <w:r>
        <w:t>webresearch uit;</w:t>
      </w:r>
    </w:p>
    <w:p>
      <w:pPr>
        <w:pStyle w:val="ListBullet"/>
        <w:spacing w:after="40"/>
        <w:ind w:left="227"/>
      </w:pPr>
      <w:r>
        <w:t>geen consumer cross-tenant sharing;</w:t>
      </w:r>
    </w:p>
    <w:p>
      <w:pPr>
        <w:pStyle w:val="ListBullet"/>
        <w:spacing w:after="40"/>
        <w:ind w:left="227"/>
      </w:pPr>
      <w:r>
        <w:t>specifieke retentie/legal hold;</w:t>
      </w:r>
    </w:p>
    <w:p>
      <w:pPr>
        <w:pStyle w:val="ListBullet"/>
        <w:spacing w:after="40"/>
        <w:ind w:left="227"/>
      </w:pPr>
      <w:r>
        <w:t>SSO/MFA verplicht.</w:t>
      </w:r>
    </w:p>
    <w:p>
      <w:pPr>
        <w:spacing w:after="100"/>
      </w:pPr>
      <w:r>
        <w:t>Een dergelijk profiel is pas een contractuele garantie wanneer de technische configuratie aantoonbaar overeenkomt en in de nadere overeenkomst is opgenomen.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1020" w:bottom="96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Liberation Sans" w:hAnsi="Liberation Sans"/>
        <w:color w:val="6E6257"/>
        <w:sz w:val="14"/>
      </w:rPr>
      <w:t xml:space="preserve">Architectuur, gegevensstromen, soevereiniteit en overheidsverzoeken  •  v1.0  • 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jc w:val="right"/>
    </w:pPr>
    <w:r>
      <w:rPr>
        <w:b/>
        <w:color w:val="3A5A78"/>
        <w:sz w:val="15"/>
      </w:rPr>
      <w:t>SUMMA  /  COMPLIANCE &amp; TRUST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Liberation Sans" w:hAnsi="Liberation Sans"/>
      <w:color w:val="1A1008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Liberation Sans" w:hAnsi="Liberation Sans"/>
      <w:b/>
      <w:bCs/>
      <w:color w:val="3A5A78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Liberation Sans" w:hAnsi="Liberation Sans"/>
      <w:b/>
      <w:bCs/>
      <w:color w:val="C8963E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Liberation Sans" w:hAnsi="Liberation Sans"/>
      <w:b/>
      <w:bCs/>
      <w:color w:val="3A5A78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Liberation Sans" w:hAnsi="Liberation Sans"/>
      <w:b/>
      <w:color w:val="1A1008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Summa</dc:creator>
  <cp:keywords/>
  <dc:description/>
  <cp:lastModifiedBy>Summa</cp:lastModifiedBy>
  <cp:revision>1</cp:revision>
  <dcterms:created xsi:type="dcterms:W3CDTF">2013-12-23T23:15:00Z</dcterms:created>
  <dcterms:modified xsi:type="dcterms:W3CDTF">2013-12-23T23:15:00Z</dcterms:modified>
  <cp:category/>
</cp:coreProperties>
</file>